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bookmark=id.toeuqeng760i" w:id="0"/>
    <w:bookmarkEnd w:id="0"/>
    <w:p w:rsidR="00000000" w:rsidDel="00000000" w:rsidP="00000000" w:rsidRDefault="00000000" w:rsidRPr="00000000" w14:paraId="00000001">
      <w:pPr>
        <w:pStyle w:val="Heading1"/>
        <w:jc w:val="left"/>
        <w:rPr>
          <w:rFonts w:ascii="Arial" w:cs="Arial" w:eastAsia="Arial" w:hAnsi="Arial"/>
          <w:color w:val="000000"/>
        </w:rPr>
      </w:pPr>
      <w:r w:rsidDel="00000000" w:rsidR="00000000" w:rsidRPr="00000000">
        <w:rPr>
          <w:rFonts w:ascii="Arial" w:cs="Arial" w:eastAsia="Arial" w:hAnsi="Arial"/>
          <w:color w:val="000000"/>
          <w:rtl w:val="0"/>
        </w:rPr>
        <w:t xml:space="preserve">Response to the Associate Editor and Reviewers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Manuscript ID:</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JBHI-00</w:t>
      </w:r>
      <w:sdt>
        <w:sdtPr>
          <w:id w:val="471276771"/>
          <w:tag w:val="goog_rdk_0"/>
        </w:sdtPr>
        <w:sdtContent>
          <w:commentRangeStart w:id="0"/>
        </w:sdtContent>
      </w:sdt>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758-2026</w:t>
        <w:br w:type="textWrapping"/>
      </w: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Manuscript Title:</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 “DISCO-TAB: A Hierarchical Reinforcement Learning Framework for </w:t>
      </w:r>
      <w:commentRangeEnd w:id="0"/>
      <w:r w:rsidDel="00000000" w:rsidR="00000000" w:rsidRPr="00000000">
        <w:commentReference w:id="0"/>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Privacy-Preserving Synthesis of Complex Clinical Data”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Dear Editor-in-Chief, Associate Editor, and Reviewers,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sincerely thank you for the careful evaluation of our manuscript and for the constructive and detailed comments. We greatly appreciate the opportunity to revise and resubmit our work. The reviewers’ suggestions have helped us identify several areas in which the manuscript can be made more precise, reproducible, and appropriately scoped.</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have carefully considered every comment and have undertaken a substantial revision of the manuscript. In particular, the revised manuscript: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clarifies and strengthens the positioning of DISCO-TAB relative to recent state-of-the-art synthetic tabular data generation methods;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expands the methodological and experimental details to improve reproducibility;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revises the terminology concerning privacy to clearly distinguish empirical privacy-risk assessment from formal privacy guarantees;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clarifies the computation and interpretation of the distance-to-closest-record (DCR) analysis;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clarifies the distinction between multi-granular discriminator feedback and the scalar terminal reward used by PPO;</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investigates and provides additional context for the reported Heart Failure classification result;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strengthens the statistical analysis and reporting of experimental variability;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expands the discussion of practical implications, limitations, and future directions;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improves figures, captions, notation, abbreviations, cross-references, and references; and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rPr>
          <w:rFonts w:ascii="Arial" w:cs="Arial" w:eastAsia="Arial" w:hAnsi="Arial"/>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corrects several typographical and formatting inconsistencies.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All modifications are highlighted in the revised manuscript, as requested. Below, we reproduce each reviewer comment followed by our point-by-point response and the corresponding changes.</w:t>
      </w:r>
    </w:p>
    <w:p w:rsidR="00000000" w:rsidDel="00000000" w:rsidP="00000000" w:rsidRDefault="00000000" w:rsidRPr="00000000" w14:paraId="00000011">
      <w:pPr>
        <w:rPr>
          <w:rFonts w:ascii="Arial" w:cs="Arial" w:eastAsia="Arial" w:hAnsi="Ari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jc w:val="left"/>
        <w:rPr>
          <w:rFonts w:ascii="Arial" w:cs="Arial" w:eastAsia="Arial" w:hAnsi="Arial"/>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jc w:val="left"/>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Reviewer 1</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sincerely thank Reviewer 1 for the positive assessment of the motivation, presentation, and multi-dataset evaluation of our work, as well as for the specific suggestions for improving clarity and reproducibility.</w:t>
      </w:r>
    </w:p>
    <w:p w:rsidR="00000000" w:rsidDel="00000000" w:rsidP="00000000" w:rsidRDefault="00000000" w:rsidRPr="00000000" w14:paraId="00000015">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1:</w:t>
      </w:r>
      <w:r w:rsidDel="00000000" w:rsidR="00000000" w:rsidRPr="00000000">
        <w:rPr>
          <w:rFonts w:ascii="Arial" w:cs="Arial" w:eastAsia="Arial" w:hAnsi="Arial"/>
          <w:i w:val="1"/>
          <w:iCs w:val="1"/>
          <w:color w:val="000000"/>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 5, Col. 2, Ln. 57: The text references “Table ?? summarizes…”, but this table is missing. Please insert the table or correct the cross-reference.</w:t>
      </w:r>
    </w:p>
    <w:p w:rsidR="00000000" w:rsidDel="00000000" w:rsidP="00000000" w:rsidRDefault="00000000" w:rsidRPr="00000000" w14:paraId="00000016">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2:</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 6, Col. 2, Ln. 42: The definition of [symbol] is repeated. It was already introduced on Col. 1, after Eq. 3. Please remove the redundancy.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Response: </w:t>
      </w: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Thank you for identifying this issue. We have corrected this and other unresolved cross-references throughout the manuscript.</w:t>
      </w:r>
    </w:p>
    <w:p w:rsidR="00000000" w:rsidDel="00000000" w:rsidP="00000000" w:rsidRDefault="00000000" w:rsidRPr="00000000" w14:paraId="00000018">
      <w:pPr>
        <w:pStyle w:val="Heading3"/>
        <w:jc w:val="left"/>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19">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3: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pp. 8–9: To better summarize the margin analysis (relative gain Δ) and statistical fidelity results discussed alongside Tables I and II, please add concise visualizations (e.g., bar/box plots) for each dataset.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Fonts w:ascii="Arial" w:cs="Arial" w:eastAsia="Arial" w:hAnsi="Arial"/>
          <w:b w:val="1"/>
          <w:bCs w:val="1"/>
          <w:i w:val="0"/>
          <w:iCs w:val="0"/>
          <w:smallCaps w:val="0"/>
          <w:strike w:val="0"/>
          <w:u w:val="none"/>
          <w:shd w:fill="auto" w:val="clear"/>
          <w:vertAlign w:val="baseline"/>
          <w:rtl w:val="0"/>
        </w:rPr>
        <w:t xml:space="preserve">Response: </w:t>
      </w:r>
      <w:r w:rsidDel="00000000" w:rsidR="00000000" w:rsidRPr="00000000">
        <w:rPr>
          <w:rFonts w:ascii="Arial" w:cs="Arial" w:eastAsia="Arial" w:hAnsi="Arial"/>
          <w:rtl w:val="0"/>
        </w:rPr>
        <w:t xml:space="preserve">Response: Thank you for this suggestion. We have added Figure 2 to summarize the per-dataset F1 improvement (Δ) over the strongest baseline and Figure 3 to show statistical fidelity using Jensen–Shannon divergence. These visualizations complement Tables IV and V, respectively.</w:t>
      </w:r>
    </w:p>
    <w:p w:rsidR="00000000" w:rsidDel="00000000" w:rsidP="00000000" w:rsidRDefault="00000000" w:rsidRPr="00000000" w14:paraId="0000001B">
      <w:pPr>
        <w:pStyle w:val="Heading3"/>
        <w:jc w:val="left"/>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01C">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4: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Table II: The metric JS is used but not defined. Please provide its full name and formula in the table caption or nomenclature.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Response: </w:t>
      </w:r>
      <w:r w:rsidDel="00000000" w:rsidR="00000000" w:rsidRPr="00000000">
        <w:rPr>
          <w:rFonts w:ascii="Arial" w:cs="Arial" w:eastAsia="Arial" w:hAnsi="Arial"/>
          <w:rtl w:val="0"/>
        </w:rPr>
        <w:t xml:space="preserve">Response: We have defined Jensen–Shannon divergence (JSD), provided its formula in Eq. (30), and clarified that lower values indicate greater distributional similarity.</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F">
      <w:pPr>
        <w:pStyle w:val="Heading3"/>
        <w:jc w:val="left"/>
        <w:rPr>
          <w:rFonts w:ascii="Arial" w:cs="Arial" w:eastAsia="Arial" w:hAnsi="Arial"/>
          <w:i w:val="1"/>
          <w:iCs w:val="1"/>
          <w:smallCaps w:val="0"/>
          <w:strike w:val="0"/>
          <w:color w:val="00000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5: </w:t>
      </w:r>
      <w:r w:rsidDel="00000000" w:rsidR="00000000" w:rsidRPr="00000000">
        <w:rPr>
          <w:rFonts w:ascii="Arial" w:cs="Arial" w:eastAsia="Arial" w:hAnsi="Arial"/>
          <w:i w:val="1"/>
          <w:iCs w:val="1"/>
          <w:smallCaps w:val="0"/>
          <w:strike w:val="0"/>
          <w:color w:val="000000"/>
          <w:sz w:val="24"/>
          <w:szCs w:val="24"/>
          <w:u w:val="none"/>
          <w:shd w:fill="auto" w:val="clear"/>
          <w:vertAlign w:val="baseline"/>
          <w:rtl w:val="0"/>
        </w:rPr>
        <w:t xml:space="preserve">The Section of Discussion and Limitations is better to be summarized as possible. </w:t>
      </w:r>
    </w:p>
    <w:p w:rsidR="00000000" w:rsidDel="00000000" w:rsidP="00000000" w:rsidRDefault="00000000" w:rsidRPr="00000000" w14:paraId="00000020">
      <w:pPr>
        <w:spacing w:after="180" w:before="180" w:lineRule="auto"/>
        <w:rPr>
          <w:rFonts w:ascii="Arial" w:cs="Arial" w:eastAsia="Arial" w:hAnsi="Arial"/>
        </w:rPr>
      </w:pPr>
      <w:r w:rsidDel="00000000" w:rsidR="00000000" w:rsidRPr="00000000">
        <w:rPr>
          <w:rFonts w:ascii="Arial" w:cs="Arial" w:eastAsia="Arial" w:hAnsi="Arial"/>
          <w:b w:val="1"/>
          <w:bCs w:val="1"/>
          <w:rtl w:val="0"/>
        </w:rPr>
        <w:t xml:space="preserve">Response: </w:t>
      </w:r>
      <w:r w:rsidDel="00000000" w:rsidR="00000000" w:rsidRPr="00000000">
        <w:rPr>
          <w:rFonts w:ascii="Arial" w:cs="Arial" w:eastAsia="Arial" w:hAnsi="Arial"/>
          <w:rtl w:val="0"/>
        </w:rPr>
        <w:t xml:space="preserve">Thank you for this recommendation. We agree that portions of the original Discussion and Limitations section were overly lengthy. We have condensed repetitive descriptions while retaining the material necessary to interpret the results, acknowledge the methodological limitations, and discuss their implications. At the same time, in response to Reviewers 2 and 3, we have strengthened the discussion where deeper interpretation was specifically needed. The resulting section is more focused and avoids repeating numerical results already reported in the Results section. </w:t>
      </w:r>
    </w:p>
    <w:p w:rsidR="00000000" w:rsidDel="00000000" w:rsidP="00000000" w:rsidRDefault="00000000" w:rsidRPr="00000000" w14:paraId="00000021">
      <w:pPr>
        <w:pStyle w:val="Heading1"/>
        <w:jc w:val="left"/>
        <w:rPr>
          <w:rFonts w:ascii="Arial" w:cs="Arial" w:eastAsia="Arial" w:hAnsi="Arial"/>
          <w:color w:val="000000"/>
        </w:rPr>
      </w:pPr>
      <w:r w:rsidDel="00000000" w:rsidR="00000000" w:rsidRPr="00000000">
        <w:rPr>
          <w:rFonts w:ascii="Arial" w:cs="Arial" w:eastAsia="Arial" w:hAnsi="Arial"/>
          <w:color w:val="000000"/>
          <w:rtl w:val="0"/>
        </w:rPr>
        <w:t xml:space="preserve">Reviewer 2</w:t>
      </w:r>
    </w:p>
    <w:p w:rsidR="00000000" w:rsidDel="00000000" w:rsidP="00000000" w:rsidRDefault="00000000" w:rsidRPr="00000000" w14:paraId="00000022">
      <w:pPr>
        <w:spacing w:after="240" w:before="240" w:lineRule="auto"/>
        <w:rPr>
          <w:rFonts w:ascii="Arial" w:cs="Arial" w:eastAsia="Arial" w:hAnsi="Arial"/>
        </w:rPr>
      </w:pPr>
      <w:r w:rsidDel="00000000" w:rsidR="00000000" w:rsidRPr="00000000">
        <w:rPr>
          <w:rFonts w:ascii="Arial" w:cs="Arial" w:eastAsia="Arial" w:hAnsi="Arial"/>
          <w:rtl w:val="0"/>
        </w:rPr>
        <w:t xml:space="preserve">We thank Reviewer 2 for the constructive comments. In response, we have clarified DISCO-TAB’s novelty, strengthened its comparison with recent approaches, and expanded the methodological and experimental descriptions to improve reproducibility. We have also revised the discussion to better explain the findings, practical implications, assumptions, limitations, and future directions, and improved the manuscript’s presentation. Our point-by-point responses below detail these revisions.</w:t>
      </w:r>
    </w:p>
    <w:p w:rsidR="00000000" w:rsidDel="00000000" w:rsidP="00000000" w:rsidRDefault="00000000" w:rsidRPr="00000000" w14:paraId="00000023">
      <w:pPr>
        <w:spacing w:after="240" w:before="240" w:lineRule="auto"/>
        <w:rPr>
          <w:rFonts w:ascii="Arial" w:cs="Arial" w:eastAsia="Arial" w:hAnsi="Arial"/>
          <w:i w:val="1"/>
          <w:iCs w:val="1"/>
          <w:smallCaps w:val="0"/>
          <w:strike w:val="0"/>
          <w:sz w:val="24"/>
          <w:szCs w:val="24"/>
          <w:u w:val="none"/>
          <w:shd w:fill="auto" w:val="clear"/>
          <w:vertAlign w:val="baseline"/>
        </w:rPr>
      </w:pPr>
      <w:r w:rsidDel="00000000" w:rsidR="00000000" w:rsidRPr="00000000">
        <w:rPr>
          <w:rFonts w:ascii="Arial" w:cs="Arial" w:eastAsia="Arial" w:hAnsi="Arial"/>
          <w:i w:val="1"/>
          <w:iCs w:val="1"/>
          <w:color w:val="000000"/>
          <w:rtl w:val="0"/>
        </w:rPr>
        <w:t xml:space="preserve">Comment 1: </w:t>
      </w:r>
      <w:r w:rsidDel="00000000" w:rsidR="00000000" w:rsidRPr="00000000">
        <w:rPr>
          <w:rFonts w:ascii="Arial" w:cs="Arial" w:eastAsia="Arial" w:hAnsi="Arial"/>
          <w:i w:val="1"/>
          <w:iCs w:val="1"/>
          <w:smallCaps w:val="0"/>
          <w:strike w:val="0"/>
          <w:sz w:val="24"/>
          <w:szCs w:val="24"/>
          <w:u w:val="none"/>
          <w:shd w:fill="auto" w:val="clear"/>
          <w:vertAlign w:val="baseline"/>
          <w:rtl w:val="0"/>
        </w:rPr>
        <w:t xml:space="preserve">The authors should clearly articulate the novelty and scientific contribution of the proposed work compared with the most recent state-of-the-art studies.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rPr>
      </w:pPr>
      <w:r w:rsidDel="00000000" w:rsidR="00000000" w:rsidRPr="00000000">
        <w:rPr>
          <w:rFonts w:ascii="Arial" w:cs="Arial" w:eastAsia="Arial" w:hAnsi="Arial"/>
          <w:b w:val="1"/>
          <w:bCs w:val="1"/>
          <w:i w:val="0"/>
          <w:iCs w:val="0"/>
          <w:smallCaps w:val="0"/>
          <w:strike w:val="0"/>
          <w:sz w:val="24"/>
          <w:szCs w:val="24"/>
          <w:u w:val="none"/>
          <w:shd w:fill="auto" w:val="clear"/>
          <w:vertAlign w:val="baseline"/>
          <w:rtl w:val="0"/>
        </w:rPr>
        <w:t xml:space="preserve">Response:  </w:t>
      </w:r>
      <w:r w:rsidDel="00000000" w:rsidR="00000000" w:rsidRPr="00000000">
        <w:rPr>
          <w:rFonts w:ascii="Arial" w:cs="Arial" w:eastAsia="Arial" w:hAnsi="Arial"/>
          <w:rtl w:val="0"/>
        </w:rPr>
        <w:t xml:space="preserve">We have revised the Introduction (Section I) and Related Work (Section II) to clarify DISCO-TAB’s novelty and distinguish it from existing generative and feedback-guided approaches. Its central contribution is a hierarchical architecture that combines token-, clause-, feature-, and record-level discriminator feedback into a terminal reward for reinforcement learning, enabling optimization across complementary aspects of tabular consistency.</w:t>
      </w:r>
    </w:p>
    <w:p w:rsidR="00000000" w:rsidDel="00000000" w:rsidP="00000000" w:rsidRDefault="00000000" w:rsidRPr="00000000" w14:paraId="00000025">
      <w:pPr>
        <w:spacing w:after="240" w:before="240" w:lineRule="auto"/>
        <w:rPr>
          <w:rFonts w:ascii="Arial" w:cs="Arial" w:eastAsia="Arial" w:hAnsi="Arial"/>
        </w:rPr>
      </w:pPr>
      <w:r w:rsidDel="00000000" w:rsidR="00000000" w:rsidRPr="00000000">
        <w:rPr>
          <w:rFonts w:ascii="Arial" w:cs="Arial" w:eastAsia="Arial" w:hAnsi="Arial"/>
          <w:rtl w:val="0"/>
        </w:rPr>
        <w:t xml:space="preserve">The framework integrates automated dependency discovery to identify feature relationships without exhaustive manual rule specification and inverse-frequency reward shaping to emphasize underrepresented classes during optimization. The revised contribution statements and comparative discussion attribute the novelty to the integration and empirical evaluation of these mechanisms, rather than to the individual generators, discriminators, or reinforcement learning algorithms.</w:t>
      </w:r>
    </w:p>
    <w:p w:rsidR="00000000" w:rsidDel="00000000" w:rsidP="00000000" w:rsidRDefault="00000000" w:rsidRPr="00000000" w14:paraId="00000026">
      <w:pPr>
        <w:pStyle w:val="Heading3"/>
        <w:jc w:val="left"/>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2: A dedicated discussion highlighting the unique advantages and limitations of the proposed approach is recommended.</w:t>
      </w:r>
    </w:p>
    <w:p w:rsidR="00000000" w:rsidDel="00000000" w:rsidP="00000000" w:rsidRDefault="00000000" w:rsidRPr="00000000" w14:paraId="0000002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A dedicated “Advantages and Limitations” paragraph has been added to the Discussion (Section VII, p. 16). It lists the main advantages (heterogeneous validity signals in one RL objective, minority-class preservation, automated dependency discovery, applicability across heterogeneous datasets) and seven explicit limitations (e.g., no formal differential privacy, pairwise-only dependency discovery, dependence on discriminator quality, PPO computational overhead).</w:t>
      </w:r>
    </w:p>
    <w:p w:rsidR="00000000" w:rsidDel="00000000" w:rsidP="00000000" w:rsidRDefault="00000000" w:rsidRPr="00000000" w14:paraId="00000029">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3: The literature review should be strengthened by incorporating additional recent and relevant studies published within the last 3–5 years.</w:t>
      </w:r>
    </w:p>
    <w:p w:rsidR="00000000" w:rsidDel="00000000" w:rsidP="00000000" w:rsidRDefault="00000000" w:rsidRPr="00000000" w14:paraId="0000002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II (pp. 2–3) now covers recent work, including TabDDPM [9], REaLTabFormer [11], TabSyn [13], TAEGAN [12], HARMONIC [15], SynLLM [16], AIGT [17], TabularARGN [18], TAGAL [21], and P-TA [22] (2023–2025). Table I (p. 4) summarizes how these families differ.</w:t>
      </w:r>
    </w:p>
    <w:p w:rsidR="00000000" w:rsidDel="00000000" w:rsidP="00000000" w:rsidRDefault="00000000" w:rsidRPr="00000000" w14:paraId="0000002C">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D">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4: The authors should provide a more critical comparison between existing approaches and the proposed methodology.</w:t>
      </w:r>
    </w:p>
    <w:p w:rsidR="00000000" w:rsidDel="00000000" w:rsidP="00000000" w:rsidRDefault="00000000" w:rsidRPr="00000000" w14:paraId="0000002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II (pp. 2–3) now compares each method family (adversarial, diffusion, autoregressive/LLM, constraint- and feedback-driven, privacy-focused) in terms of objective, constraint enforcement, class imbalance, and privacy. The “Summary and Positioning” paragraph (p. 3) and Table I (p. 4) state where DISCO-TAB differs (hierarchical discriminator rewards versus the textual or scalar feedback of TAGAL and P-TA) and where it does not (no formal privacy, unlike PATE-GAN).</w:t>
      </w:r>
    </w:p>
    <w:p w:rsidR="00000000" w:rsidDel="00000000" w:rsidP="00000000" w:rsidRDefault="00000000" w:rsidRPr="00000000" w14:paraId="0000002F">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5: The methodology section requires additional details to ensure reproducibility.</w:t>
      </w:r>
    </w:p>
    <w:p w:rsidR="00000000" w:rsidDel="00000000" w:rsidP="00000000" w:rsidRDefault="00000000" w:rsidRPr="00000000" w14:paraId="0000003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III now specifies the linearization and [MISSING]-token handling (pp. 4–5), constraint discovery (p. 5), each discriminator (pp. 5–7), reward construction and the PPO objective (pp. 7–8), and the full training procedure (Algorithm 1, p. 7). Hyperparameters and software details are in Section III-E (p. 8) and Appendix A (p. 17).</w:t>
      </w:r>
    </w:p>
    <w:p w:rsidR="00000000" w:rsidDel="00000000" w:rsidP="00000000" w:rsidRDefault="00000000" w:rsidRPr="00000000" w14:paraId="0000003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3">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6: The selection of parameters, model configurations, datasets, and evaluation protocols should be better justified.</w:t>
      </w:r>
    </w:p>
    <w:p w:rsidR="00000000" w:rsidDel="00000000" w:rsidP="00000000" w:rsidRDefault="00000000" w:rsidRPr="00000000" w14:paraId="0000003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IV-A (pp. 8–9) now justifies the nine datasets (small high-dimensional, moderate-sized, large imbalanced, and non-medical sets for cross-domain testing; Table III, p. 9), the shared preprocessing and train/test splits, and the evaluation protocol (utility, fidelity, disclosure risk). Parameter choices and settings held fixed across datasets are explained in Section III-E (p. 8) and Appendix A.3 (p. 17).</w:t>
      </w:r>
    </w:p>
    <w:p w:rsidR="00000000" w:rsidDel="00000000" w:rsidP="00000000" w:rsidRDefault="00000000" w:rsidRPr="00000000" w14:paraId="00000035">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7: Any assumptions and limitations of the proposed method should be explicitly stated.</w:t>
      </w:r>
    </w:p>
    <w:p w:rsidR="00000000" w:rsidDel="00000000" w:rsidP="00000000" w:rsidRDefault="00000000" w:rsidRPr="00000000" w14:paraId="00000037">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Three assumptions are now stated in Section III (p. 4): (i) dependencies are captured to first order by pairwise associations, (ii) serialization retains sufficient record structure, and (iii) reward quality depends on discriminator calibration. Their consequences are discussed as limitations in Section VII (pp. 15–16).</w:t>
      </w:r>
    </w:p>
    <w:p w:rsidR="00000000" w:rsidDel="00000000" w:rsidP="00000000" w:rsidRDefault="00000000" w:rsidRPr="00000000" w14:paraId="00000038">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9">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8: The experimental setup should be described in greater detail.</w:t>
      </w:r>
    </w:p>
    <w:p w:rsidR="00000000" w:rsidDel="00000000" w:rsidP="00000000" w:rsidRDefault="00000000" w:rsidRPr="00000000" w14:paraId="0000003A">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IV-A (pp. 8–9) now describes the datasets (Table III, p. 9), preprocessing, identical train/test splits, baselines, downstream classifier, and repeated-run protocol. Appendix A (p. 17) reports hardware (NVIDIA A100, 80 GB), software versions, and hyperparameters.</w:t>
      </w:r>
    </w:p>
    <w:p w:rsidR="00000000" w:rsidDel="00000000" w:rsidP="00000000" w:rsidRDefault="00000000" w:rsidRPr="00000000" w14:paraId="0000003B">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9: Comparative experiments with additional baseline methods would strengthen the validity of the conclusions.</w:t>
      </w:r>
    </w:p>
    <w:p w:rsidR="00000000" w:rsidDel="00000000" w:rsidP="00000000" w:rsidRDefault="00000000" w:rsidRPr="00000000" w14:paraId="0000003D">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The main comparison now includes seven baselines: CTGAN [7] and TAEGAN [12] (adversarial), RealTabFormer [11] (autoregressive), TabDDPM [9] and TabSyn [13] (diffusion/latent), MostlyAI [25] (commercial AutoML), and TAGAL [21] (agentic LLM), all on identical splits and downstream evaluation (Section IV-A, p. 8; Table IV, p. 11). Appendix Tables XI–XII (p. 18) add ADS-GAN, PATE-GAN, TVAE, RTVAE, GaussCop, NFlow, and GReaT.</w:t>
      </w:r>
    </w:p>
    <w:p w:rsidR="00000000" w:rsidDel="00000000" w:rsidP="00000000" w:rsidRDefault="00000000" w:rsidRPr="00000000" w14:paraId="0000003E">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10: Statistical significance analysis should be included where applicable.</w:t>
      </w:r>
    </w:p>
    <w:p w:rsidR="00000000" w:rsidDel="00000000" w:rsidP="00000000" w:rsidRDefault="00000000" w:rsidRPr="00000000" w14:paraId="00000040">
      <w:pPr>
        <w:spacing w:after="240" w:before="240" w:lineRule="auto"/>
        <w:rPr>
          <w:rFonts w:ascii="Arial" w:cs="Arial" w:eastAsia="Arial" w:hAnsi="Arial"/>
          <w:highlight w:val="yellow"/>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Reported metrics are now averaged over 3 independent random seeds (mean ± SD), with 95% confidence intervals, paired Wilcoxon signed-rank tests, Friedman/Nemenyi testing across datasets, Holm–Bonferroni correction, and effect sizes (Section IV-A, p. 9; Appendix Tables XI–XII, p. 18). </w:t>
      </w:r>
      <w:r w:rsidDel="00000000" w:rsidR="00000000" w:rsidRPr="00000000">
        <w:rPr>
          <w:rFonts w:ascii="Arial" w:cs="Arial" w:eastAsia="Arial" w:hAnsi="Arial"/>
          <w:highlight w:val="yellow"/>
          <w:rtl w:val="0"/>
        </w:rPr>
        <w:t xml:space="preserve">[Insert the realized test statistics and p-values once finalized.]</w:t>
      </w:r>
    </w:p>
    <w:p w:rsidR="00000000" w:rsidDel="00000000" w:rsidP="00000000" w:rsidRDefault="00000000" w:rsidRPr="00000000" w14:paraId="00000041">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2">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11: The discussion section should be expanded to provide deeper interpretation of the results rather than only reporting performance metrics.</w:t>
      </w:r>
    </w:p>
    <w:p w:rsidR="00000000" w:rsidDel="00000000" w:rsidP="00000000" w:rsidRDefault="00000000" w:rsidRPr="00000000" w14:paraId="0000004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Results are now interpreted rather than only listed: utility gains by data regime (Section IV-B, pp. 9–10), the fidelity and privacy–utility trade-offs including the diffusion privacy paradox (Sections IV-C–D, pp. 10–12), the precision–diversity trade-off (Section V-B, p. 13), and the ablation and synergy analysis (Section VI, pp. 13–15). Section VII (pp. 15–16) links these findings to hierarchical feedback, IFRS, and data-scarce behavior.</w:t>
      </w:r>
    </w:p>
    <w:p w:rsidR="00000000" w:rsidDel="00000000" w:rsidP="00000000" w:rsidRDefault="00000000" w:rsidRPr="00000000" w14:paraId="00000044">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5">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12: The practical implications and potential real-world applications of the proposed work should be elaborated.</w:t>
      </w:r>
    </w:p>
    <w:p w:rsidR="00000000" w:rsidDel="00000000" w:rsidP="00000000" w:rsidRDefault="00000000" w:rsidRPr="00000000" w14:paraId="00000046">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A “Practical Implications” paragraph has been added (Section VII, pp. 15–16). It describes intended uses (developing and pre-screening ML pipelines, minority-class augmentation, benchmarking, governed data sharing) and cautions that, because DISCO-TAB offers no formal privacy guarantee, its outputs should not be released without a dataset-specific disclosure-risk assessment.</w:t>
      </w:r>
    </w:p>
    <w:p w:rsidR="00000000" w:rsidDel="00000000" w:rsidP="00000000" w:rsidRDefault="00000000" w:rsidRPr="00000000" w14:paraId="00000047">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13: The conclusion should more clearly summarize the key findings and contributions.</w:t>
      </w:r>
    </w:p>
    <w:p w:rsidR="00000000" w:rsidDel="00000000" w:rsidP="00000000" w:rsidRDefault="00000000" w:rsidRPr="00000000" w14:paraId="0000004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The Conclusion (Section VIII, p. 16) has been rewritten to summarize the contribution, the main empirical findings (competitive with, and on several datasets better than, GAN, diffusion, and agentic baselines), and the limitations, without introducing new claims.</w:t>
      </w:r>
    </w:p>
    <w:p w:rsidR="00000000" w:rsidDel="00000000" w:rsidP="00000000" w:rsidRDefault="00000000" w:rsidRPr="00000000" w14:paraId="0000004A">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B">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14: Future research directions and limitations should be discussed in greater detail.</w:t>
      </w:r>
    </w:p>
    <w:p w:rsidR="00000000" w:rsidDel="00000000" w:rsidP="00000000" w:rsidRDefault="00000000" w:rsidRPr="00000000" w14:paraId="0000004C">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Section VII (pp. 15–16) now lists seven specific limitations and three concrete future directions: (i) integrating formal differential privacy (e.g., DP-SGD or PATE-style aggregation) into the reward loop, (ii) constraint discovery beyond pairwise dependencies with clinician-in-the-loop validation, and (iii) validation on large multi-institutional EHR cohorts and longitudinal, multimodal data. Step-level credit assignment (p. 7) and reducing computational overhead (p. 15) are also noted.</w:t>
      </w:r>
    </w:p>
    <w:p w:rsidR="00000000" w:rsidDel="00000000" w:rsidP="00000000" w:rsidRDefault="00000000" w:rsidRPr="00000000" w14:paraId="0000004D">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E">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15: The manuscript should be carefully proofread for grammatical, typographical, and formatting inconsistencies.</w:t>
      </w:r>
    </w:p>
    <w:p w:rsidR="00000000" w:rsidDel="00000000" w:rsidP="00000000" w:rsidRDefault="00000000" w:rsidRPr="00000000" w14:paraId="0000004F">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The entire manuscript was proofread; typographical errors, unresolved cross-references, and inconsistent terminology were corrected. All changes are highlighted in blue.</w:t>
      </w:r>
    </w:p>
    <w:p w:rsidR="00000000" w:rsidDel="00000000" w:rsidP="00000000" w:rsidRDefault="00000000" w:rsidRPr="00000000" w14:paraId="00000050">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16: Abbreviations should be defined at first occurrence.</w:t>
      </w:r>
    </w:p>
    <w:p w:rsidR="00000000" w:rsidDel="00000000" w:rsidP="00000000" w:rsidRDefault="00000000" w:rsidRPr="00000000" w14:paraId="00000052">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All abbreviations were checked and are now defined at first use (e.g., EHR and CDSS, p. 1; IFRS, p. 2; PPO, p. 3; DCR, p. 10).</w:t>
      </w:r>
    </w:p>
    <w:p w:rsidR="00000000" w:rsidDel="00000000" w:rsidP="00000000" w:rsidRDefault="00000000" w:rsidRPr="00000000" w14:paraId="00000053">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17: References should be checked for completeness and consistency according to the journal guidelines.</w:t>
      </w:r>
    </w:p>
    <w:p w:rsidR="00000000" w:rsidDel="00000000" w:rsidP="00000000" w:rsidRDefault="00000000" w:rsidRPr="00000000" w14:paraId="0000005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Thank you. The reference list (pp. 16–17) was checked for completeness, formatting, and correspondence with in-text citations, and was revised to the IEEE/J-BHI style.</w:t>
      </w:r>
    </w:p>
    <w:p w:rsidR="00000000" w:rsidDel="00000000" w:rsidP="00000000" w:rsidRDefault="00000000" w:rsidRPr="00000000" w14:paraId="00000056">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18: The quality of figure captions can be improved by providing more descriptive explanations.</w:t>
      </w:r>
    </w:p>
    <w:p w:rsidR="00000000" w:rsidDel="00000000" w:rsidP="00000000" w:rsidRDefault="00000000" w:rsidRPr="00000000" w14:paraId="00000058">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Captions for Fig. 1 (p. 4), Figs. 2–3 (p. 10), and Tables I–XII (pp. 4–18) were rewritten to be self-contained, stating what is shown, how to read it (metric direction, bold/colour meaning), and the main takeaway.</w:t>
      </w:r>
    </w:p>
    <w:p w:rsidR="00000000" w:rsidDel="00000000" w:rsidP="00000000" w:rsidRDefault="00000000" w:rsidRPr="00000000" w14:paraId="00000059">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19: Ensure consistent notation and terminology throughout the manuscript.</w:t>
      </w:r>
    </w:p>
    <w:p w:rsidR="00000000" w:rsidDel="00000000" w:rsidP="00000000" w:rsidRDefault="00000000" w:rsidRPr="00000000" w14:paraId="0000005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Notation, metric names (JSD, KS, DCR), abbreviations, and terminology (e.g., “multi-granular,” “disclosure risk”) were harmonized throughout the manuscript.</w:t>
      </w:r>
    </w:p>
    <w:p w:rsidR="00000000" w:rsidDel="00000000" w:rsidP="00000000" w:rsidRDefault="00000000" w:rsidRPr="00000000" w14:paraId="0000005C">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D">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20: The authors are encouraged to review and cite relevant literature where appropriate… The following reference may be considered: 10.1038/s41598-024-80448-5.</w:t>
      </w:r>
    </w:p>
    <w:p w:rsidR="00000000" w:rsidDel="00000000" w:rsidP="00000000" w:rsidRDefault="00000000" w:rsidRPr="00000000" w14:paraId="0000005E">
      <w:pPr>
        <w:spacing w:after="240" w:before="240" w:lineRule="auto"/>
        <w:rPr>
          <w:rFonts w:ascii="Arial" w:cs="Arial" w:eastAsia="Arial" w:hAnsi="Arial"/>
          <w:highlight w:val="yellow"/>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thank the reviewer. We reviewed the suggested article (DOI: 10.1038/s41598-024-80448-5). </w:t>
      </w:r>
      <w:r w:rsidDel="00000000" w:rsidR="00000000" w:rsidRPr="00000000">
        <w:rPr>
          <w:rFonts w:ascii="Arial" w:cs="Arial" w:eastAsia="Arial" w:hAnsi="Arial"/>
          <w:highlight w:val="yellow"/>
          <w:rtl w:val="0"/>
        </w:rPr>
        <w:t xml:space="preserve">[Choose one: “It is now cited as reference [X] in Section II (p. __) to support __.” OR “It addresses __ and falls outside the scope of this work, so it was not added.”]</w:t>
      </w:r>
    </w:p>
    <w:p w:rsidR="00000000" w:rsidDel="00000000" w:rsidP="00000000" w:rsidRDefault="00000000" w:rsidRPr="00000000" w14:paraId="0000005F">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0">
      <w:pPr>
        <w:rPr>
          <w:rFonts w:ascii="Arial" w:cs="Arial" w:eastAsia="Arial" w:hAnsi="Arial"/>
        </w:rPr>
      </w:pPr>
      <w:r w:rsidDel="00000000" w:rsidR="00000000" w:rsidRPr="00000000">
        <w:rPr>
          <w:rtl w:val="0"/>
        </w:rPr>
      </w:r>
    </w:p>
    <w:p w:rsidR="00000000" w:rsidDel="00000000" w:rsidP="00000000" w:rsidRDefault="00000000" w:rsidRPr="00000000" w14:paraId="00000061">
      <w:pPr>
        <w:pStyle w:val="Heading1"/>
        <w:jc w:val="left"/>
        <w:rPr>
          <w:rFonts w:ascii="Arial" w:cs="Arial" w:eastAsia="Arial" w:hAnsi="Arial"/>
        </w:rPr>
      </w:pPr>
      <w:r w:rsidDel="00000000" w:rsidR="00000000" w:rsidRPr="00000000">
        <w:br w:type="page"/>
      </w:r>
      <w:r w:rsidDel="00000000" w:rsidR="00000000" w:rsidRPr="00000000">
        <w:rPr>
          <w:rtl w:val="0"/>
        </w:rPr>
      </w:r>
    </w:p>
    <w:bookmarkStart w:colFirst="0" w:colLast="0" w:name="bookmark=id.3pqvqp4j0e10" w:id="1"/>
    <w:bookmarkEnd w:id="1"/>
    <w:p w:rsidR="00000000" w:rsidDel="00000000" w:rsidP="00000000" w:rsidRDefault="00000000" w:rsidRPr="00000000" w14:paraId="00000062">
      <w:pPr>
        <w:pStyle w:val="Heading1"/>
        <w:jc w:val="left"/>
        <w:rPr>
          <w:rFonts w:ascii="Arial" w:cs="Arial" w:eastAsia="Arial" w:hAnsi="Arial"/>
          <w:color w:val="000000"/>
        </w:rPr>
      </w:pPr>
      <w:r w:rsidDel="00000000" w:rsidR="00000000" w:rsidRPr="00000000">
        <w:rPr>
          <w:rFonts w:ascii="Arial" w:cs="Arial" w:eastAsia="Arial" w:hAnsi="Arial"/>
          <w:color w:val="000000"/>
          <w:rtl w:val="0"/>
        </w:rPr>
        <w:t xml:space="preserve">Reviewer 3</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i w:val="0"/>
          <w:iCs w:val="0"/>
          <w:smallCaps w:val="0"/>
          <w:strike w:val="0"/>
          <w:sz w:val="24"/>
          <w:szCs w:val="24"/>
          <w:u w:val="none"/>
          <w:shd w:fill="auto" w:val="clear"/>
          <w:vertAlign w:val="baseline"/>
          <w:rtl w:val="0"/>
        </w:rPr>
        <w:t xml:space="preserve">We sincerely thank Reviewer 3 for the careful and technically detailed assessment. The comments identify several places where the original manuscript did not sufficiently distinguish empirical privacy-related evaluation from formal privacy guarantees and where important experimental details required clarification. We agree that these distinctions are particularly important in biomedical synthetic-data research. We have therefore substantially revised the manuscript in response.</w:t>
      </w:r>
    </w:p>
    <w:p w:rsidR="00000000" w:rsidDel="00000000" w:rsidP="00000000" w:rsidRDefault="00000000" w:rsidRPr="00000000" w14:paraId="00000064">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1: The paper repeatedly uses terminology such as “privacy-preserving,” “privacy-aware,” and “robust privacy guarantees,” although the methodology explicitly states that no formal DP mechanism is used.</w:t>
      </w:r>
    </w:p>
    <w:p w:rsidR="00000000" w:rsidDel="00000000" w:rsidP="00000000" w:rsidRDefault="00000000" w:rsidRPr="00000000" w14:paraId="00000065">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Claims of “privacy-preserving” and “robust privacy guarantees” have been removed, including from the title. We now use “empirical disclosure-risk” and “proximity-based” terminology and state explicitly that DISCO-TAB implements no differential privacy and that DCR is a heuristic, not proof of anonymization or protection against membership or attribute inference (Abstract, p. 1; Section III, p. 4; Section IV-D, p. 10; Section VII, pp. 15–16). Table I (p. 4) adds a “Formal privacy” column.</w:t>
      </w:r>
    </w:p>
    <w:p w:rsidR="00000000" w:rsidDel="00000000" w:rsidP="00000000" w:rsidRDefault="00000000" w:rsidRPr="00000000" w14:paraId="00000066">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7">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2: Table III reports values such as DCR = 4830.6 for Heart Failure versus 1.27 for DISCO-TAB, but Euclidean distance depends strongly on feature scaling and dimensionality. Required clarification: (a) How are categorical variables represented? (b) Are all numerical variables standardized before DCR? (c) What distance metric is used for mixed-type data? (d) Is DCR normalized? (e) Is the nearest neighbor searched among the complete training set or a held-out set?</w:t>
      </w:r>
    </w:p>
    <w:p w:rsidR="00000000" w:rsidDel="00000000" w:rsidP="00000000" w:rsidRDefault="00000000" w:rsidRPr="00000000" w14:paraId="00000068">
      <w:pPr>
        <w:spacing w:after="240" w:before="240" w:lineRule="auto"/>
        <w:rPr>
          <w:rFonts w:ascii="Arial" w:cs="Arial" w:eastAsia="Arial" w:hAnsi="Arial"/>
          <w:highlight w:val="yellow"/>
        </w:rPr>
      </w:pPr>
      <w:r w:rsidDel="00000000" w:rsidR="00000000" w:rsidRPr="00000000">
        <w:rPr>
          <w:rFonts w:ascii="Arial" w:cs="Arial" w:eastAsia="Arial" w:hAnsi="Arial"/>
          <w:b w:val="1"/>
          <w:bCs w:val="1"/>
          <w:rtl w:val="0"/>
        </w:rPr>
        <w:t xml:space="preserve">Response:</w:t>
      </w:r>
      <w:sdt>
        <w:sdtPr>
          <w:id w:val="1171552882"/>
          <w:tag w:val="goog_rdk_1"/>
        </w:sdtPr>
        <w:sdtContent>
          <w:r w:rsidDel="00000000" w:rsidR="00000000" w:rsidRPr="00000000">
            <w:rPr>
              <w:rFonts w:ascii="Arial Unicode MS" w:cs="Arial Unicode MS" w:eastAsia="Arial Unicode MS" w:hAnsi="Arial Unicode MS"/>
              <w:rtl w:val="0"/>
            </w:rPr>
            <w:t xml:space="preserve"> We agree. The DCR protocol is now defined in Section IV-D (pp. 10–11; the table is now Table VI): (a) categorical features are one-hot encoded; (b) numerical features are standardized with the mean and SD of the real training partition; (c) distance is Euclidean in this mixed, standardized space; (d) it is normalized by √M (the number of encoded dimensions); (e) the nearest neighbor is searched in a held-out real reference set disjoint from the data used for generation. Raw DCR values are no longer compared across datasets; each is read against a within-dataset real–real baseline (median nearest-neighbor distance between two disjoint real partitions). </w:t>
          </w:r>
        </w:sdtContent>
      </w:sdt>
      <w:r w:rsidDel="00000000" w:rsidR="00000000" w:rsidRPr="00000000">
        <w:rPr>
          <w:rFonts w:ascii="Arial" w:cs="Arial" w:eastAsia="Arial" w:hAnsi="Arial"/>
          <w:highlight w:val="yellow"/>
          <w:rtl w:val="0"/>
        </w:rPr>
        <w:t xml:space="preserve">[Confirm against code and add the real–real baseline column to Table VI, p. 11.]</w:t>
      </w:r>
    </w:p>
    <w:p w:rsidR="00000000" w:rsidDel="00000000" w:rsidP="00000000" w:rsidRDefault="00000000" w:rsidRPr="00000000" w14:paraId="00000069">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3: The paper repeatedly characterizes the approach as providing dense multi-granular feedback, but Equation (8) constructs a single terminal reward, which is subsequently broadcast to all time steps. Need explanation on this.</w:t>
      </w:r>
    </w:p>
    <w:p w:rsidR="00000000" w:rsidDel="00000000" w:rsidP="00000000" w:rsidRDefault="00000000" w:rsidRPr="00000000" w14:paraId="0000006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that “dense” was imprecise. “Multi-granular” refers to the sources of the reward (token-, sentence-, feature-, and row-level discriminators), not to temporal density. The aggregated score (now Eq. 22) is a single terminal reward computed after the record is complete and used as the return for all steps in PPO (Section III-D, p. 7). The misleading wording was removed, and step-level credit assignment is listed as future work (pp. 7 and 16).</w:t>
      </w:r>
    </w:p>
    <w:p w:rsidR="00000000" w:rsidDel="00000000" w:rsidP="00000000" w:rsidRDefault="00000000" w:rsidRPr="00000000" w14:paraId="0000006C">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4: The reported F1 = 1.0 on Heart Failure requires careful investigation and explanation.</w:t>
      </w:r>
    </w:p>
    <w:p w:rsidR="00000000" w:rsidDel="00000000" w:rsidP="00000000" w:rsidRDefault="00000000" w:rsidRPr="00000000" w14:paraId="0000006E">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We audited the result (Section IV-B, p. 9): the target column is excluded from the predictors and from the serialized records; no real record appears in the synthetic set (exact and near-duplicate check); standardization statistics are fit on the training partition only; and the experiment was repeated over 3 random seeds. Across seeds, DISCO-TAB attains F1 = </w:t>
      </w:r>
      <w:r w:rsidDel="00000000" w:rsidR="00000000" w:rsidRPr="00000000">
        <w:rPr>
          <w:rFonts w:ascii="Arial" w:cs="Arial" w:eastAsia="Arial" w:hAnsi="Arial"/>
          <w:highlight w:val="yellow"/>
          <w:rtl w:val="0"/>
        </w:rPr>
        <w:t xml:space="preserve">[mean ± SD]</w:t>
      </w:r>
      <w:r w:rsidDel="00000000" w:rsidR="00000000" w:rsidRPr="00000000">
        <w:rPr>
          <w:rFonts w:ascii="Arial" w:cs="Arial" w:eastAsia="Arial" w:hAnsi="Arial"/>
          <w:rtl w:val="0"/>
        </w:rPr>
        <w:t xml:space="preserve"> on Heart Failure. </w:t>
      </w:r>
      <w:r w:rsidDel="00000000" w:rsidR="00000000" w:rsidRPr="00000000">
        <w:rPr>
          <w:rFonts w:ascii="Arial" w:cs="Arial" w:eastAsia="Arial" w:hAnsi="Arial"/>
          <w:highlight w:val="yellow"/>
          <w:rtl w:val="0"/>
        </w:rPr>
        <w:t xml:space="preserve">[If 1.000 does not persist, state that Table IV now reports the repeated-run mean; if it persists, state the leakage-control evidence.]</w:t>
      </w:r>
      <w:r w:rsidDel="00000000" w:rsidR="00000000" w:rsidRPr="00000000">
        <w:rPr>
          <w:rFonts w:ascii="Arial" w:cs="Arial" w:eastAsia="Arial" w:hAnsi="Arial"/>
          <w:rtl w:val="0"/>
        </w:rPr>
        <w:t xml:space="preserve"> We also caution that this small dataset (N = 299) should not be read as evidence of perfect generalization.</w:t>
      </w:r>
    </w:p>
    <w:p w:rsidR="00000000" w:rsidDel="00000000" w:rsidP="00000000" w:rsidRDefault="00000000" w:rsidRPr="00000000" w14:paraId="0000006F">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0">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5: The experimental comparison needs stronger statistical testing, analysis and discussion.</w:t>
      </w:r>
    </w:p>
    <w:p w:rsidR="00000000" w:rsidDel="00000000" w:rsidP="00000000" w:rsidRDefault="00000000" w:rsidRPr="00000000" w14:paraId="0000007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Results are now repeated over 3 seeds and reported as mean ± SD with 95% confidence intervals, paired Wilcoxon and Friedman/Nemenyi tests with Holm–Bonferroni correction, and effect sizes (Section IV-A, p. 9; Appendix Tables XI–XII, p. 18). The Discussion separates consistent trends (gains on small, imbalanced medical datasets) from dataset-specific outcomes (Diabetes, Bank Marketing, Census Income) and avoids conclusions from differences within run-to-run variability (Section IV-B, pp. 9–10).</w:t>
      </w:r>
    </w:p>
    <w:p w:rsidR="00000000" w:rsidDel="00000000" w:rsidP="00000000" w:rsidRDefault="00000000" w:rsidRPr="00000000" w14:paraId="00000072">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3">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6: Abstract claim “JSD &lt; 0.01” appears inconsistent with Table II.</w:t>
      </w:r>
    </w:p>
    <w:p w:rsidR="00000000" w:rsidDel="00000000" w:rsidP="00000000" w:rsidRDefault="00000000" w:rsidRPr="00000000" w14:paraId="0000007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Thank you. The unsupported “JSD &lt; 0.01” claim was removed from the Abstract (p. 1), which now refers to the per-dataset JSD in Table V. In Table V, JSD ranges from 0.001 to 0.074 (at most 0.026 on all six medical datasets). Numerical claims in the Abstract, Results, Discussion, and Conclusion were rechecked against the tables (Section IV-C, p. 10).</w:t>
      </w:r>
    </w:p>
    <w:p w:rsidR="00000000" w:rsidDel="00000000" w:rsidP="00000000" w:rsidRDefault="00000000" w:rsidRPr="00000000" w14:paraId="00000075">
      <w:pPr>
        <w:spacing w:after="240" w:before="24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spacing w:after="240" w:before="240" w:lineRule="auto"/>
        <w:rPr>
          <w:rFonts w:ascii="Arial" w:cs="Arial" w:eastAsia="Arial" w:hAnsi="Arial"/>
          <w:i w:val="1"/>
          <w:iCs w:val="1"/>
        </w:rPr>
      </w:pPr>
      <w:r w:rsidDel="00000000" w:rsidR="00000000" w:rsidRPr="00000000">
        <w:rPr>
          <w:rFonts w:ascii="Arial" w:cs="Arial" w:eastAsia="Arial" w:hAnsi="Arial"/>
          <w:i w:val="1"/>
          <w:iCs w:val="1"/>
          <w:rtl w:val="0"/>
        </w:rPr>
        <w:t xml:space="preserve">Comment 7: “Privacy-preserving” should be reconsidered in the title as it does not fit the work.</w:t>
      </w:r>
    </w:p>
    <w:p w:rsidR="00000000" w:rsidDel="00000000" w:rsidP="00000000" w:rsidRDefault="00000000" w:rsidRPr="00000000" w14:paraId="00000077">
      <w:pPr>
        <w:spacing w:after="240" w:before="240" w:lineRule="auto"/>
        <w:rPr>
          <w:rFonts w:ascii="Arial" w:cs="Arial" w:eastAsia="Arial" w:hAnsi="Arial"/>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rtl w:val="0"/>
        </w:rPr>
        <w:t xml:space="preserve">Response:</w:t>
      </w:r>
      <w:r w:rsidDel="00000000" w:rsidR="00000000" w:rsidRPr="00000000">
        <w:rPr>
          <w:rFonts w:ascii="Arial" w:cs="Arial" w:eastAsia="Arial" w:hAnsi="Arial"/>
          <w:rtl w:val="0"/>
        </w:rPr>
        <w:t xml:space="preserve"> We agree. The title is now “DISCO-TAB: A Hierarchical Reinforcement Learning Framework for Clinically Constrained Tabular Data Synthesis” (p. 1), and privacy terminology was aligned throughout (Abstract, p. 1; Section VII, pp. 15–16).</w:t>
      </w:r>
      <w:r w:rsidDel="00000000" w:rsidR="00000000" w:rsidRPr="00000000">
        <w:rPr>
          <w:rtl w:val="0"/>
        </w:rPr>
      </w:r>
    </w:p>
    <w:sectPr>
      <w:pgSz w:h="15840" w:w="12240" w:orient="portrait"/>
      <w:pgMar w:bottom="1440" w:top="1440" w:left="1440" w:right="1440"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ajar Homayouni" w:id="0" w:date="2026-10-14T20:05:57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increase the line spacing of the letter?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jc w:val="both"/>
    </w:pPr>
    <w:rPr>
      <w:rFonts w:ascii="Georgia" w:cs="Georgia" w:eastAsia="Georgia" w:hAnsi="Georgia"/>
      <w:b w:val="1"/>
      <w:bCs w:val="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jc w:val="both"/>
    </w:pPr>
    <w:rPr>
      <w:rFonts w:ascii="Georgia" w:cs="Georgia" w:eastAsia="Georgia" w:hAnsi="Georgia"/>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SOrMQj/LkuDaO3Nqeph2dLOf+Q==">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cp:coreProperties>
</file>

<file path=docProps/custom.xml><?xml version="1.0" encoding="utf-8"?>
<Properties xmlns="http://schemas.openxmlformats.org/officeDocument/2006/custom-properties" xmlns:vt="http://schemas.openxmlformats.org/officeDocument/2006/docPropsVTypes"/>
</file>