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ba9c6048fea3693fd71e82ac2b116d1830e133b"/>
    <w:p>
      <w:pPr>
        <w:pStyle w:val="Heading1"/>
      </w:pPr>
      <w:r>
        <w:t xml:space="preserve">Response to the Associate Editor and Reviewers</w:t>
      </w:r>
    </w:p>
    <w:p>
      <w:pPr>
        <w:pStyle w:val="FirstParagraph"/>
      </w:pPr>
      <w:r>
        <w:rPr>
          <w:b/>
          <w:bCs/>
        </w:rPr>
        <w:t xml:space="preserve">Manuscript ID:</w:t>
      </w:r>
      <w:r>
        <w:t xml:space="preserve"> </w:t>
      </w:r>
      <w:r>
        <w:t xml:space="preserve">JBHI-00758-2026</w:t>
      </w:r>
      <w:r>
        <w:br/>
      </w:r>
      <w:r>
        <w:rPr>
          <w:b/>
          <w:bCs/>
        </w:rPr>
        <w:t xml:space="preserve">Manuscript Title:</w:t>
      </w:r>
      <w:r>
        <w:t xml:space="preserve"> </w:t>
      </w:r>
      <w:r>
        <w:t xml:space="preserve">“DISCO-TAB: A Hierarchical Reinforcement Learning Framework for Privacy-Preserving Synthesis of Complex Clinical Data”</w:t>
      </w:r>
    </w:p>
    <w:p>
      <w:pPr>
        <w:pStyle w:val="BodyText"/>
      </w:pPr>
      <w:r>
        <w:t xml:space="preserve">Dear Editor-in-Chief, Associate Editor, and Reviewers,</w:t>
      </w:r>
    </w:p>
    <w:p>
      <w:pPr>
        <w:pStyle w:val="BodyText"/>
      </w:pPr>
      <w:r>
        <w:t xml:space="preserve">We sincerely thank you for the careful evaluation of our manuscript and for the constructive and detailed comments. We greatly appreciate the opportunity to revise and resubmit our work. The reviewers’ suggestions have helped us identify several areas in which the manuscript can be made more precise, reproducible, and appropriately scoped.</w:t>
      </w:r>
    </w:p>
    <w:p>
      <w:pPr>
        <w:pStyle w:val="BodyText"/>
      </w:pPr>
      <w:r>
        <w:t xml:space="preserve">We have carefully considered every comment and have undertaken a substantial revision of the manuscript. In particular, the revised manuscript:</w:t>
      </w:r>
    </w:p>
    <w:p>
      <w:pPr>
        <w:pStyle w:val="Compact"/>
        <w:numPr>
          <w:ilvl w:val="0"/>
          <w:numId w:val="1001"/>
        </w:numPr>
      </w:pPr>
      <w:r>
        <w:t xml:space="preserve">clarifies and strengthens the positioning of DISCO-TAB relative to recent state-of-the-art synthetic tabular data generation methods;</w:t>
      </w:r>
    </w:p>
    <w:p>
      <w:pPr>
        <w:pStyle w:val="Compact"/>
        <w:numPr>
          <w:ilvl w:val="0"/>
          <w:numId w:val="1001"/>
        </w:numPr>
      </w:pPr>
      <w:r>
        <w:t xml:space="preserve">expands the methodological and experimental details to improve reproducibility;</w:t>
      </w:r>
    </w:p>
    <w:p>
      <w:pPr>
        <w:pStyle w:val="Compact"/>
        <w:numPr>
          <w:ilvl w:val="0"/>
          <w:numId w:val="1001"/>
        </w:numPr>
      </w:pPr>
      <w:r>
        <w:t xml:space="preserve">revises the terminology concerning privacy to clearly distinguish empirical privacy-risk assessment from formal privacy guarantees;</w:t>
      </w:r>
    </w:p>
    <w:p>
      <w:pPr>
        <w:pStyle w:val="Compact"/>
        <w:numPr>
          <w:ilvl w:val="0"/>
          <w:numId w:val="1001"/>
        </w:numPr>
      </w:pPr>
      <w:r>
        <w:t xml:space="preserve">clarifies the computation and interpretation of the distance-to-closest-record (DCR) analysis;</w:t>
      </w:r>
    </w:p>
    <w:p>
      <w:pPr>
        <w:pStyle w:val="Compact"/>
        <w:numPr>
          <w:ilvl w:val="0"/>
          <w:numId w:val="1001"/>
        </w:numPr>
      </w:pPr>
      <w:r>
        <w:t xml:space="preserve">clarifies the distinction between multi-granular discriminator feedback and the scalar terminal reward used by PPO;</w:t>
      </w:r>
    </w:p>
    <w:p>
      <w:pPr>
        <w:pStyle w:val="Compact"/>
        <w:numPr>
          <w:ilvl w:val="0"/>
          <w:numId w:val="1001"/>
        </w:numPr>
      </w:pPr>
      <w:r>
        <w:t xml:space="preserve">investigates and provides additional context for the reported Heart Failure classification result;</w:t>
      </w:r>
    </w:p>
    <w:p>
      <w:pPr>
        <w:pStyle w:val="Compact"/>
        <w:numPr>
          <w:ilvl w:val="0"/>
          <w:numId w:val="1001"/>
        </w:numPr>
      </w:pPr>
      <w:r>
        <w:t xml:space="preserve">strengthens the statistical analysis and reporting of experimental variability;</w:t>
      </w:r>
    </w:p>
    <w:p>
      <w:pPr>
        <w:pStyle w:val="Compact"/>
        <w:numPr>
          <w:ilvl w:val="0"/>
          <w:numId w:val="1001"/>
        </w:numPr>
      </w:pPr>
      <w:r>
        <w:t xml:space="preserve">expands the discussion of practical implications, limitations, and future directions;</w:t>
      </w:r>
    </w:p>
    <w:p>
      <w:pPr>
        <w:pStyle w:val="Compact"/>
        <w:numPr>
          <w:ilvl w:val="0"/>
          <w:numId w:val="1001"/>
        </w:numPr>
      </w:pPr>
      <w:r>
        <w:t xml:space="preserve">improves figures, captions, notation, abbreviations, cross-references, and references; and</w:t>
      </w:r>
    </w:p>
    <w:p>
      <w:pPr>
        <w:pStyle w:val="Compact"/>
        <w:numPr>
          <w:ilvl w:val="0"/>
          <w:numId w:val="1001"/>
        </w:numPr>
      </w:pPr>
      <w:r>
        <w:t xml:space="preserve">corrects several typographical and formatting inconsistencies.</w:t>
      </w:r>
    </w:p>
    <w:p>
      <w:pPr>
        <w:pStyle w:val="FirstParagraph"/>
      </w:pPr>
      <w:r>
        <w:t xml:space="preserve">All modifications are highlighted in the revised manuscript, as requested. Below, we reproduce each reviewer comment followed by our point-by-point response and the corresponding changes.</w:t>
      </w:r>
    </w:p>
    <w:p>
      <w:r>
        <w:pict>
          <v:rect style="width:0;height:1.5pt" o:hralign="center" o:hrstd="t" o:hr="t"/>
        </w:pict>
      </w:r>
    </w:p>
    <w:bookmarkEnd w:id="9"/>
    <w:bookmarkStart w:id="15" w:name="reviewer-1"/>
    <w:p>
      <w:pPr>
        <w:pStyle w:val="Heading1"/>
      </w:pPr>
      <w:r>
        <w:t xml:space="preserve">Reviewer 1</w:t>
      </w:r>
    </w:p>
    <w:p>
      <w:pPr>
        <w:pStyle w:val="FirstParagraph"/>
      </w:pPr>
      <w:r>
        <w:t xml:space="preserve">We sincerely thank Reviewer 1 for the positive assessment of the motivation, presentation, and multi-dataset evaluation of our work, as well as for the specific suggestions for improving clarity and reproducibility.</w:t>
      </w:r>
    </w:p>
    <w:bookmarkStart w:id="10" w:name="comment-1"/>
    <w:p>
      <w:pPr>
        <w:pStyle w:val="Heading3"/>
      </w:pPr>
      <w:r>
        <w:t xml:space="preserve">Comment 1</w:t>
      </w:r>
    </w:p>
    <w:p>
      <w:pPr>
        <w:pStyle w:val="BlockText"/>
      </w:pPr>
      <w:r>
        <w:t xml:space="preserve">p. 5, Col. 2, Ln. 57: The text references “Table ?? summarizes…”, but this table is missing. Please insert the table or correct the cross-reference.</w:t>
      </w:r>
    </w:p>
    <w:p>
      <w:pPr>
        <w:pStyle w:val="FirstParagraph"/>
      </w:pPr>
      <w:r>
        <w:rPr>
          <w:b/>
          <w:bCs/>
        </w:rPr>
        <w:t xml:space="preserve">Response:</w:t>
      </w:r>
      <w:r>
        <w:br/>
      </w:r>
      <w:r>
        <w:t xml:space="preserve">Thank you for identifying this error. We apologize for the unresolved LaTeX cross-reference. We have corrected the reference so that it now points to the appropriate table in the revised manuscript. We have also performed a systematic check of all table, figure, equation, and section cross-references to prevent similar unresolved references.</w:t>
      </w:r>
    </w:p>
    <w:p>
      <w:pPr>
        <w:pStyle w:val="BodyText"/>
      </w:pPr>
      <w:r>
        <w:rPr>
          <w:b/>
          <w:bCs/>
        </w:rPr>
        <w:t xml:space="preserve">Change in manuscript:</w:t>
      </w:r>
      <w:r>
        <w:br/>
      </w:r>
      <w:r>
        <w:t xml:space="preserve">The erroneous “Table ??” reference has been replaced with the correct table reference, and all manuscript cross-references have been verified.</w:t>
      </w:r>
    </w:p>
    <w:p>
      <w:r>
        <w:pict>
          <v:rect style="width:0;height:1.5pt" o:hralign="center" o:hrstd="t" o:hr="t"/>
        </w:pict>
      </w:r>
    </w:p>
    <w:bookmarkEnd w:id="10"/>
    <w:bookmarkStart w:id="11" w:name="comment-2"/>
    <w:p>
      <w:pPr>
        <w:pStyle w:val="Heading3"/>
      </w:pPr>
      <w:r>
        <w:t xml:space="preserve">Comment 2</w:t>
      </w:r>
    </w:p>
    <w:p>
      <w:pPr>
        <w:pStyle w:val="BlockText"/>
      </w:pPr>
      <w:r>
        <w:t xml:space="preserve">p. 6, Col. 2, Ln. 42: The definition of [symbol] is repeated. It was already introduced on Col. 1, after Eq. 3. Please remove the redundancy.</w:t>
      </w:r>
    </w:p>
    <w:p>
      <w:pPr>
        <w:pStyle w:val="FirstParagraph"/>
      </w:pPr>
      <w:r>
        <w:rPr>
          <w:b/>
          <w:bCs/>
        </w:rPr>
        <w:t xml:space="preserve">Response:</w:t>
      </w:r>
      <w:r>
        <w:br/>
      </w:r>
      <w:r>
        <w:t xml:space="preserve">We agree and thank the reviewer for noticing this redundancy. The repeated definition has been removed, and the notation is now defined only at its first occurrence.</w:t>
      </w:r>
    </w:p>
    <w:p>
      <w:pPr>
        <w:pStyle w:val="BodyText"/>
      </w:pPr>
      <w:r>
        <w:rPr>
          <w:b/>
          <w:bCs/>
        </w:rPr>
        <w:t xml:space="preserve">Change in manuscript:</w:t>
      </w:r>
      <w:r>
        <w:br/>
      </w:r>
      <w:r>
        <w:t xml:space="preserve">The redundant definition following Eq. (3) has been removed and the surrounding text has been revised for continuity.</w:t>
      </w:r>
    </w:p>
    <w:p>
      <w:r>
        <w:pict>
          <v:rect style="width:0;height:1.5pt" o:hralign="center" o:hrstd="t" o:hr="t"/>
        </w:pict>
      </w:r>
    </w:p>
    <w:bookmarkEnd w:id="11"/>
    <w:bookmarkStart w:id="12" w:name="comment-3"/>
    <w:p>
      <w:pPr>
        <w:pStyle w:val="Heading3"/>
      </w:pPr>
      <w:r>
        <w:t xml:space="preserve">Comment 3</w:t>
      </w:r>
    </w:p>
    <w:p>
      <w:pPr>
        <w:pStyle w:val="BlockText"/>
      </w:pPr>
      <w:r>
        <w:t xml:space="preserve">pp. 8–9: To better summarize the margin analysis (relative gain Δ) and statistical fidelity results discussed alongside Tables I and II, please add concise visualizations (e.g., bar/box plots) for each dataset.</w:t>
      </w:r>
    </w:p>
    <w:p>
      <w:pPr>
        <w:pStyle w:val="FirstParagraph"/>
      </w:pPr>
      <w:r>
        <w:rPr>
          <w:b/>
          <w:bCs/>
        </w:rPr>
        <w:t xml:space="preserve">Response:</w:t>
      </w:r>
      <w:r>
        <w:br/>
      </w:r>
      <w:r>
        <w:t xml:space="preserve">We appreciate this suggestion and agree that visual summaries make the cross-dataset trends substantially easier to interpret. In the revised manuscript, we have added concise visualizations summarizing the relative downstream utility gain and statistical fidelity results across datasets. These visualizations complement rather than replace the numerical results in Tables I and II and make it easier to assess the consistency and variability of DISCO-TAB relative to the competing approaches.</w:t>
      </w:r>
    </w:p>
    <w:p>
      <w:pPr>
        <w:pStyle w:val="BodyText"/>
      </w:pPr>
      <w:r>
        <w:rPr>
          <w:b/>
          <w:bCs/>
        </w:rPr>
        <w:t xml:space="preserve">Change in manuscript:</w:t>
      </w:r>
      <w:r>
        <w:br/>
      </w:r>
      <w:r>
        <w:t xml:space="preserve">New figure(s) have been added to the Results section showing (i) the relative performance margin across datasets and (ii) the principal statistical-fidelity measurements across datasets. The corresponding discussion has been revised to reference these visual summaries.</w:t>
      </w:r>
    </w:p>
    <w:p>
      <w:r>
        <w:pict>
          <v:rect style="width:0;height:1.5pt" o:hralign="center" o:hrstd="t" o:hr="t"/>
        </w:pict>
      </w:r>
    </w:p>
    <w:bookmarkEnd w:id="12"/>
    <w:bookmarkStart w:id="13" w:name="comment-4"/>
    <w:p>
      <w:pPr>
        <w:pStyle w:val="Heading3"/>
      </w:pPr>
      <w:r>
        <w:t xml:space="preserve">Comment 4</w:t>
      </w:r>
    </w:p>
    <w:p>
      <w:pPr>
        <w:pStyle w:val="BlockText"/>
      </w:pPr>
      <w:r>
        <w:t xml:space="preserve">Table II: The metric JS is used but not defined. Please provide its full name and formula in the table caption or nomenclature.</w:t>
      </w:r>
    </w:p>
    <w:p>
      <w:pPr>
        <w:pStyle w:val="FirstParagraph"/>
      </w:pPr>
      <w:r>
        <w:rPr>
          <w:b/>
          <w:bCs/>
        </w:rPr>
        <w:t xml:space="preserve">Response:</w:t>
      </w:r>
      <w:r>
        <w:br/>
      </w:r>
      <w:r>
        <w:t xml:space="preserve">We agree. “JS” refers to the Jensen–Shannon divergence. We have now defined the metric explicitly at its first occurrence and provided its mathematical definition. We also clarified its interpretation, namely that smaller values indicate greater similarity between the corresponding empirical distributions.</w:t>
      </w:r>
    </w:p>
    <w:p>
      <w:pPr>
        <w:pStyle w:val="BodyText"/>
      </w:pPr>
      <w:r>
        <w:rPr>
          <w:b/>
          <w:bCs/>
        </w:rPr>
        <w:t xml:space="preserve">Change in manuscript:</w:t>
      </w:r>
      <w:r>
        <w:br/>
      </w:r>
      <w:r>
        <w:t xml:space="preserve">The revised manuscript defines Jensen–Shannon divergence (JSD) before its first use and provides its formula and interpretation. The Table II caption has also been expanded accordingly.</w:t>
      </w:r>
    </w:p>
    <w:p>
      <w:r>
        <w:pict>
          <v:rect style="width:0;height:1.5pt" o:hralign="center" o:hrstd="t" o:hr="t"/>
        </w:pict>
      </w:r>
    </w:p>
    <w:bookmarkEnd w:id="13"/>
    <w:bookmarkStart w:id="14" w:name="comment-5"/>
    <w:p>
      <w:pPr>
        <w:pStyle w:val="Heading3"/>
      </w:pPr>
      <w:r>
        <w:t xml:space="preserve">Comment 5</w:t>
      </w:r>
    </w:p>
    <w:p>
      <w:pPr>
        <w:pStyle w:val="BlockText"/>
      </w:pPr>
      <w:r>
        <w:t xml:space="preserve">The Section of Discussion and Limitations is better to be summarized as possible.</w:t>
      </w:r>
    </w:p>
    <w:p>
      <w:pPr>
        <w:pStyle w:val="FirstParagraph"/>
      </w:pPr>
      <w:r>
        <w:rPr>
          <w:b/>
          <w:bCs/>
        </w:rPr>
        <w:t xml:space="preserve">Response:</w:t>
      </w:r>
      <w:r>
        <w:br/>
      </w:r>
      <w:r>
        <w:t xml:space="preserve">Thank you for this recommendation. We agree that portions of the original Discussion and Limitations section were overly lengthy. We have condensed repetitive descriptions while retaining the material necessary to interpret the results, acknowledge the methodological limitations, and discuss their implications. At the same time, in response to Reviewers 2 and 3, we have strengthened the discussion where deeper interpretation was specifically needed. The resulting section is more focused and avoids repeating numerical results already reported in the Results section.</w:t>
      </w:r>
    </w:p>
    <w:p>
      <w:pPr>
        <w:pStyle w:val="BodyText"/>
      </w:pPr>
      <w:r>
        <w:rPr>
          <w:b/>
          <w:bCs/>
        </w:rPr>
        <w:t xml:space="preserve">Change in manuscript:</w:t>
      </w:r>
      <w:r>
        <w:br/>
      </w:r>
      <w:r>
        <w:t xml:space="preserve">The Discussion and Limitations section has been reorganized and streamlined, with repetitive material removed and the remaining discussion focused on interpretation, practical implications, methodological limitations, and future research.</w:t>
      </w:r>
    </w:p>
    <w:p>
      <w:r>
        <w:pict>
          <v:rect style="width:0;height:1.5pt" o:hralign="center" o:hrstd="t" o:hr="t"/>
        </w:pict>
      </w:r>
    </w:p>
    <w:bookmarkEnd w:id="14"/>
    <w:bookmarkEnd w:id="15"/>
    <w:bookmarkStart w:id="36" w:name="reviewer-2"/>
    <w:p>
      <w:pPr>
        <w:pStyle w:val="Heading1"/>
      </w:pPr>
      <w:r>
        <w:t xml:space="preserve">Reviewer 2</w:t>
      </w:r>
    </w:p>
    <w:p>
      <w:pPr>
        <w:pStyle w:val="FirstParagraph"/>
      </w:pPr>
      <w:r>
        <w:t xml:space="preserve">We sincerely thank Reviewer 2 for the thoughtful and comprehensive assessment. We appreciate the reviewer’s recognition that the manuscript addresses an interesting and relevant problem and may provide a valuable contribution. The comments have been particularly helpful in strengthening the scientific positioning, reproducibility, experimental validation, and interpretation of the manuscript.</w:t>
      </w:r>
    </w:p>
    <w:bookmarkStart w:id="16" w:name="comment-1-1"/>
    <w:p>
      <w:pPr>
        <w:pStyle w:val="Heading3"/>
      </w:pPr>
      <w:r>
        <w:t xml:space="preserve">Comment 1</w:t>
      </w:r>
    </w:p>
    <w:p>
      <w:pPr>
        <w:pStyle w:val="BlockText"/>
      </w:pPr>
      <w:r>
        <w:t xml:space="preserve">The authors should clearly articulate the novelty and scientific contribution of the proposed work compared with the most recent state-of-the-art studies.</w:t>
      </w:r>
    </w:p>
    <w:p>
      <w:pPr>
        <w:pStyle w:val="FirstParagraph"/>
      </w:pPr>
      <w:r>
        <w:rPr>
          <w:b/>
          <w:bCs/>
        </w:rPr>
        <w:t xml:space="preserve">Response:</w:t>
      </w:r>
      <w:r>
        <w:br/>
      </w:r>
      <w:r>
        <w:t xml:space="preserve">We agree and have substantially revised the Introduction and Related Work sections to make the distinction between DISCO-TAB and prior approaches more explicit.</w:t>
      </w:r>
    </w:p>
    <w:p>
      <w:pPr>
        <w:pStyle w:val="BodyText"/>
      </w:pPr>
      <w:r>
        <w:t xml:space="preserve">The central novelty of DISCO-TAB is not simply the use of an autoregressive generator or reinforcement learning in isolation. Rather, DISCO-TAB introduces a hierarchical feedback architecture in which complementary discriminators assess generated clinical records at different levels of granularity, including token-level validity, local semantic/constraint consistency, and record-level realism. These heterogeneous signals are combined within an RL-based optimization framework so that the generator can be optimized with respect to multiple aspects of tabular validity that are difficult to express through a single adversarial or likelihood-based objective.</w:t>
      </w:r>
    </w:p>
    <w:p>
      <w:pPr>
        <w:pStyle w:val="BodyText"/>
      </w:pPr>
      <w:r>
        <w:t xml:space="preserve">A second contribution is the integration of data-driven dependency discovery with the hierarchical feedback mechanism, allowing statistically salient feature relationships to contribute to the validity assessment without requiring exhaustive manual specification of clinical constraints.</w:t>
      </w:r>
    </w:p>
    <w:p>
      <w:pPr>
        <w:pStyle w:val="BodyText"/>
      </w:pPr>
      <w:r>
        <w:t xml:space="preserve">A third contribution is the inverse-frequency reward-shaping mechanism, which explicitly increases the contribution of underrepresented classes during optimization and is designed for the severe class imbalance frequently encountered in biomedical datasets.</w:t>
      </w:r>
    </w:p>
    <w:p>
      <w:pPr>
        <w:pStyle w:val="BodyText"/>
      </w:pPr>
      <w:r>
        <w:t xml:space="preserve">We have revised the manuscript to distinguish these contributions more clearly from GAN-based, VAE-based, diffusion-based, LLM-based, and existing feedback-guided tabular synthesis approaches. We have also moderated statements that could imply that the individual building blocks are independently novel; the contribution lies primarily in their integration into the proposed hierarchical RL formulation and its empirical evaluation.</w:t>
      </w:r>
    </w:p>
    <w:p>
      <w:pPr>
        <w:pStyle w:val="BodyText"/>
      </w:pPr>
      <w:r>
        <w:rPr>
          <w:b/>
          <w:bCs/>
        </w:rPr>
        <w:t xml:space="preserve">Change in manuscript:</w:t>
      </w:r>
      <w:r>
        <w:br/>
      </w:r>
      <w:r>
        <w:t xml:space="preserve">The final paragraphs of the Introduction and the Related Work section have been rewritten to provide a sharper statement of the research gap, novelty, and scientific contributions of DISCO-TAB.</w:t>
      </w:r>
    </w:p>
    <w:p>
      <w:r>
        <w:pict>
          <v:rect style="width:0;height:1.5pt" o:hralign="center" o:hrstd="t" o:hr="t"/>
        </w:pict>
      </w:r>
    </w:p>
    <w:bookmarkEnd w:id="16"/>
    <w:bookmarkStart w:id="17" w:name="comment-2-1"/>
    <w:p>
      <w:pPr>
        <w:pStyle w:val="Heading3"/>
      </w:pPr>
      <w:r>
        <w:t xml:space="preserve">Comment 2</w:t>
      </w:r>
    </w:p>
    <w:p>
      <w:pPr>
        <w:pStyle w:val="BlockText"/>
      </w:pPr>
      <w:r>
        <w:t xml:space="preserve">A dedicated discussion highlighting the unique advantages and limitations of the proposed approach is recommended.</w:t>
      </w:r>
    </w:p>
    <w:p>
      <w:pPr>
        <w:pStyle w:val="FirstParagraph"/>
      </w:pPr>
      <w:r>
        <w:rPr>
          <w:b/>
          <w:bCs/>
        </w:rPr>
        <w:t xml:space="preserve">Response:</w:t>
      </w:r>
      <w:r>
        <w:br/>
      </w:r>
      <w:r>
        <w:t xml:space="preserve">We agree. The revised Discussion now contains a dedicated subsection addressing the principal advantages and limitations of DISCO-TAB.</w:t>
      </w:r>
    </w:p>
    <w:p>
      <w:pPr>
        <w:pStyle w:val="BodyText"/>
      </w:pPr>
      <w:r>
        <w:t xml:space="preserve">The advantages discussed include the ability to incorporate heterogeneous validity signals, explicit attention to minority-class preservation, automated identification of statistically salient dependencies, and applicability across heterogeneous tabular datasets.</w:t>
      </w:r>
    </w:p>
    <w:p>
      <w:pPr>
        <w:pStyle w:val="BodyText"/>
      </w:pPr>
      <w:r>
        <w:t xml:space="preserve">The limitations now explicitly include the absence of formal differential-privacy guarantees, dependence on the quality of learned discriminators, the current emphasis on primarily pairwise dependency discovery, computational overhead associated with PPO and multiple discriminators, potential sensitivity to reward weighting and serialization choices, and the need for additional validation on larger multi-institutional EHR datasets.</w:t>
      </w:r>
    </w:p>
    <w:p>
      <w:pPr>
        <w:pStyle w:val="BodyText"/>
      </w:pPr>
      <w:r>
        <w:rPr>
          <w:b/>
          <w:bCs/>
        </w:rPr>
        <w:t xml:space="preserve">Change in manuscript:</w:t>
      </w:r>
      <w:r>
        <w:br/>
      </w:r>
      <w:r>
        <w:t xml:space="preserve">A dedicated “Advantages, Limitations, and Future Directions” subsection has been added/restructured in the Discussion.</w:t>
      </w:r>
    </w:p>
    <w:p>
      <w:r>
        <w:pict>
          <v:rect style="width:0;height:1.5pt" o:hralign="center" o:hrstd="t" o:hr="t"/>
        </w:pict>
      </w:r>
    </w:p>
    <w:bookmarkEnd w:id="17"/>
    <w:bookmarkStart w:id="18" w:name="comment-3-1"/>
    <w:p>
      <w:pPr>
        <w:pStyle w:val="Heading3"/>
      </w:pPr>
      <w:r>
        <w:t xml:space="preserve">Comment 3</w:t>
      </w:r>
    </w:p>
    <w:p>
      <w:pPr>
        <w:pStyle w:val="BlockText"/>
      </w:pPr>
      <w:r>
        <w:t xml:space="preserve">The literature review should be strengthened by incorporating additional recent and relevant studies published within the last 3–5 years.</w:t>
      </w:r>
    </w:p>
    <w:p>
      <w:pPr>
        <w:pStyle w:val="FirstParagraph"/>
      </w:pPr>
      <w:r>
        <w:rPr>
          <w:b/>
          <w:bCs/>
        </w:rPr>
        <w:t xml:space="preserve">Response:</w:t>
      </w:r>
      <w:r>
        <w:br/>
      </w:r>
      <w:r>
        <w:t xml:space="preserve">We agree and have updated the literature review with additional recent studies on synthetic tabular data generation, biomedical synthetic data, diffusion-based tabular generation, language-model-based tabular synthesis, privacy-risk assessment, and feedback-guided generation. We have focused particularly on work published during the past 3–5 years and revised the discussion to critically compare methodological differences rather than simply enumerate previous studies.</w:t>
      </w:r>
    </w:p>
    <w:p>
      <w:pPr>
        <w:pStyle w:val="BodyText"/>
      </w:pPr>
      <w:r>
        <w:rPr>
          <w:b/>
          <w:bCs/>
        </w:rPr>
        <w:t xml:space="preserve">Change in manuscript:</w:t>
      </w:r>
      <w:r>
        <w:br/>
      </w:r>
      <w:r>
        <w:t xml:space="preserve">The Related Work section and reference list have been expanded and updated with recent literature.</w:t>
      </w:r>
    </w:p>
    <w:p>
      <w:r>
        <w:pict>
          <v:rect style="width:0;height:1.5pt" o:hralign="center" o:hrstd="t" o:hr="t"/>
        </w:pict>
      </w:r>
    </w:p>
    <w:bookmarkEnd w:id="18"/>
    <w:bookmarkStart w:id="19" w:name="comment-4-1"/>
    <w:p>
      <w:pPr>
        <w:pStyle w:val="Heading3"/>
      </w:pPr>
      <w:r>
        <w:t xml:space="preserve">Comment 4</w:t>
      </w:r>
    </w:p>
    <w:p>
      <w:pPr>
        <w:pStyle w:val="BlockText"/>
      </w:pPr>
      <w:r>
        <w:t xml:space="preserve">The authors should provide a more critical comparison between existing approaches and the proposed methodology.</w:t>
      </w:r>
    </w:p>
    <w:p>
      <w:pPr>
        <w:pStyle w:val="FirstParagraph"/>
      </w:pPr>
      <w:r>
        <w:rPr>
          <w:b/>
          <w:bCs/>
        </w:rPr>
        <w:t xml:space="preserve">Response:</w:t>
      </w:r>
      <w:r>
        <w:br/>
      </w:r>
      <w:r>
        <w:t xml:space="preserve">We appreciate this suggestion. We have revised the Related Work section to explicitly compare the optimization objectives, handling of mixed-type dependencies, class imbalance, constraint enforcement, and privacy characteristics of representative existing approaches with DISCO-TAB.</w:t>
      </w:r>
    </w:p>
    <w:p>
      <w:pPr>
        <w:pStyle w:val="BodyText"/>
      </w:pPr>
      <w:r>
        <w:t xml:space="preserve">In particular, the revised discussion clarifies that DISCO-TAB is complementary to advances in generator architecture: its principal distinction is the use of hierarchical discriminator-derived feedback and RL optimization to expose multiple forms of validity information during generator adaptation rather than relying exclusively on a single distribution-matching objective.</w:t>
      </w:r>
    </w:p>
    <w:p>
      <w:pPr>
        <w:pStyle w:val="BodyText"/>
      </w:pPr>
      <w:r>
        <w:t xml:space="preserve">We have also clarified limitations relative to competing methods; for example, DISCO-TAB incurs additional training complexity and does not provide the formal privacy guarantees available from explicitly differentially private mechanisms.</w:t>
      </w:r>
    </w:p>
    <w:p>
      <w:pPr>
        <w:pStyle w:val="BodyText"/>
      </w:pPr>
      <w:r>
        <w:rPr>
          <w:b/>
          <w:bCs/>
        </w:rPr>
        <w:t xml:space="preserve">Change in manuscript:</w:t>
      </w:r>
      <w:r>
        <w:br/>
      </w:r>
      <w:r>
        <w:t xml:space="preserve">The Related Work section has been restructured to provide a more critical method-by-method comparison and clearer positioning of DISCO-TAB.</w:t>
      </w:r>
    </w:p>
    <w:p>
      <w:r>
        <w:pict>
          <v:rect style="width:0;height:1.5pt" o:hralign="center" o:hrstd="t" o:hr="t"/>
        </w:pict>
      </w:r>
    </w:p>
    <w:bookmarkEnd w:id="19"/>
    <w:bookmarkStart w:id="20" w:name="comment-5-1"/>
    <w:p>
      <w:pPr>
        <w:pStyle w:val="Heading3"/>
      </w:pPr>
      <w:r>
        <w:t xml:space="preserve">Comment 5</w:t>
      </w:r>
    </w:p>
    <w:p>
      <w:pPr>
        <w:pStyle w:val="BlockText"/>
      </w:pPr>
      <w:r>
        <w:t xml:space="preserve">The methodology section requires additional details to ensure reproducibility.</w:t>
      </w:r>
    </w:p>
    <w:p>
      <w:pPr>
        <w:pStyle w:val="FirstParagraph"/>
      </w:pPr>
      <w:r>
        <w:rPr>
          <w:b/>
          <w:bCs/>
        </w:rPr>
        <w:t xml:space="preserve">Response:</w:t>
      </w:r>
      <w:r>
        <w:br/>
      </w:r>
      <w:r>
        <w:t xml:space="preserve">We agree. We have expanded the Methodology and Experimental Setup sections to provide additional implementation and training details. These include the preprocessing procedure, serialization strategy, generator and discriminator configurations, constraint-discovery procedure, reward construction, PPO optimization settings, dataset splitting strategy, synthetic sample generation procedure, and downstream evaluation protocol.</w:t>
      </w:r>
    </w:p>
    <w:p>
      <w:pPr>
        <w:pStyle w:val="BodyText"/>
      </w:pPr>
      <w:r>
        <w:t xml:space="preserve">We have also clarified which parameters are shared across datasets and which, if any, are dataset-specific.</w:t>
      </w:r>
    </w:p>
    <w:p>
      <w:pPr>
        <w:pStyle w:val="BodyText"/>
      </w:pPr>
      <w:r>
        <w:rPr>
          <w:b/>
          <w:bCs/>
        </w:rPr>
        <w:t xml:space="preserve">Change in manuscript:</w:t>
      </w:r>
      <w:r>
        <w:br/>
      </w:r>
      <w:r>
        <w:t xml:space="preserve">Additional reproducibility information has been incorporated into the Methodology/Experimental Setup and supplementary material/appendix where appropriate.</w:t>
      </w:r>
    </w:p>
    <w:p>
      <w:r>
        <w:pict>
          <v:rect style="width:0;height:1.5pt" o:hralign="center" o:hrstd="t" o:hr="t"/>
        </w:pict>
      </w:r>
    </w:p>
    <w:bookmarkEnd w:id="20"/>
    <w:bookmarkStart w:id="21" w:name="comment-6"/>
    <w:p>
      <w:pPr>
        <w:pStyle w:val="Heading3"/>
      </w:pPr>
      <w:r>
        <w:t xml:space="preserve">Comment 6</w:t>
      </w:r>
    </w:p>
    <w:p>
      <w:pPr>
        <w:pStyle w:val="BlockText"/>
      </w:pPr>
      <w:r>
        <w:t xml:space="preserve">The selection of parameters, model configurations, datasets, and evaluation protocols should be better justified.</w:t>
      </w:r>
    </w:p>
    <w:p>
      <w:pPr>
        <w:pStyle w:val="FirstParagraph"/>
      </w:pPr>
      <w:r>
        <w:rPr>
          <w:b/>
          <w:bCs/>
        </w:rPr>
        <w:t xml:space="preserve">Response:</w:t>
      </w:r>
      <w:r>
        <w:br/>
      </w:r>
      <w:r>
        <w:t xml:space="preserve">We agree. The revised manuscript provides additional justification for these design choices. The datasets were selected to span different sample sizes, dimensionalities, class-imbalance regimes, and application domains, with particular emphasis on challenging biomedical datasets. The evaluation protocol was designed to assess complementary dimensions of synthetic-data quality rather than relying on a single metric: downstream utility, distributional fidelity, class preservation, and empirical disclosure/proximity indicators.</w:t>
      </w:r>
    </w:p>
    <w:p>
      <w:pPr>
        <w:pStyle w:val="BodyText"/>
      </w:pPr>
      <w:r>
        <w:t xml:space="preserve">We have also clarified the rationale behind the principal model and optimization parameters and identified settings that were fixed across datasets to reduce dataset-specific tuning.</w:t>
      </w:r>
    </w:p>
    <w:p>
      <w:pPr>
        <w:pStyle w:val="BodyText"/>
      </w:pPr>
      <w:r>
        <w:rPr>
          <w:b/>
          <w:bCs/>
        </w:rPr>
        <w:t xml:space="preserve">Change in manuscript:</w:t>
      </w:r>
      <w:r>
        <w:br/>
      </w:r>
      <w:r>
        <w:t xml:space="preserve">The Experimental Setup section has been expanded to explain dataset selection, parameter selection, model configuration, and evaluation design.</w:t>
      </w:r>
    </w:p>
    <w:p>
      <w:r>
        <w:pict>
          <v:rect style="width:0;height:1.5pt" o:hralign="center" o:hrstd="t" o:hr="t"/>
        </w:pict>
      </w:r>
    </w:p>
    <w:bookmarkEnd w:id="21"/>
    <w:bookmarkStart w:id="22" w:name="comment-7"/>
    <w:p>
      <w:pPr>
        <w:pStyle w:val="Heading3"/>
      </w:pPr>
      <w:r>
        <w:t xml:space="preserve">Comment 7</w:t>
      </w:r>
    </w:p>
    <w:p>
      <w:pPr>
        <w:pStyle w:val="BlockText"/>
      </w:pPr>
      <w:r>
        <w:t xml:space="preserve">Any assumptions and limitations of the proposed method should be explicitly stated.</w:t>
      </w:r>
    </w:p>
    <w:p>
      <w:pPr>
        <w:pStyle w:val="FirstParagraph"/>
      </w:pPr>
      <w:r>
        <w:rPr>
          <w:b/>
          <w:bCs/>
        </w:rPr>
        <w:t xml:space="preserve">Response:</w:t>
      </w:r>
      <w:r>
        <w:br/>
      </w:r>
      <w:r>
        <w:t xml:space="preserve">We agree. We now explicitly state the assumptions underlying the proposed framework, including that meaningful tabular dependencies can be captured by the discriminator hierarchy and dependency-discovery mechanism, that the serialization representation retains sufficient information about the original record structure, and that the quality of the RL reward depends on the calibration and generalization of the component discriminators.</w:t>
      </w:r>
    </w:p>
    <w:p>
      <w:pPr>
        <w:pStyle w:val="BodyText"/>
      </w:pPr>
      <w:r>
        <w:t xml:space="preserve">We have also expanded the limitations discussion, including the absence of formal differential privacy, the primarily pairwise nature of the current automated dependency discovery, computational overhead, and the need for broader external clinical validation.</w:t>
      </w:r>
    </w:p>
    <w:p>
      <w:pPr>
        <w:pStyle w:val="BodyText"/>
      </w:pPr>
      <w:r>
        <w:rPr>
          <w:b/>
          <w:bCs/>
        </w:rPr>
        <w:t xml:space="preserve">Change in manuscript:</w:t>
      </w:r>
      <w:r>
        <w:br/>
      </w:r>
      <w:r>
        <w:t xml:space="preserve">The assumptions are now stated in the Methodology/Discussion, and the limitations subsection has been expanded.</w:t>
      </w:r>
    </w:p>
    <w:p>
      <w:r>
        <w:pict>
          <v:rect style="width:0;height:1.5pt" o:hralign="center" o:hrstd="t" o:hr="t"/>
        </w:pict>
      </w:r>
    </w:p>
    <w:bookmarkEnd w:id="22"/>
    <w:bookmarkStart w:id="23" w:name="comment-8"/>
    <w:p>
      <w:pPr>
        <w:pStyle w:val="Heading3"/>
      </w:pPr>
      <w:r>
        <w:t xml:space="preserve">Comment 8</w:t>
      </w:r>
    </w:p>
    <w:p>
      <w:pPr>
        <w:pStyle w:val="BlockText"/>
      </w:pPr>
      <w:r>
        <w:t xml:space="preserve">The experimental setup should be described in greater detail.</w:t>
      </w:r>
    </w:p>
    <w:p>
      <w:pPr>
        <w:pStyle w:val="FirstParagraph"/>
      </w:pPr>
      <w:r>
        <w:rPr>
          <w:b/>
          <w:bCs/>
        </w:rPr>
        <w:t xml:space="preserve">Response:</w:t>
      </w:r>
      <w:r>
        <w:br/>
      </w:r>
      <w:r>
        <w:t xml:space="preserve">We agree and have expanded the Experimental Setup section to describe preprocessing, train/test partitioning, synthetic-data generation, model configurations, downstream classifiers, evaluation metrics, random seeds/repeated runs, and hardware/software implementation details.</w:t>
      </w:r>
    </w:p>
    <w:p>
      <w:pPr>
        <w:pStyle w:val="BodyText"/>
      </w:pPr>
      <w:r>
        <w:rPr>
          <w:b/>
          <w:bCs/>
        </w:rPr>
        <w:t xml:space="preserve">Change in manuscript:</w:t>
      </w:r>
      <w:r>
        <w:br/>
      </w:r>
      <w:r>
        <w:t xml:space="preserve">The Experimental Setup section has been expanded accordingly.</w:t>
      </w:r>
    </w:p>
    <w:p>
      <w:r>
        <w:pict>
          <v:rect style="width:0;height:1.5pt" o:hralign="center" o:hrstd="t" o:hr="t"/>
        </w:pict>
      </w:r>
    </w:p>
    <w:bookmarkEnd w:id="23"/>
    <w:bookmarkStart w:id="24" w:name="comment-9"/>
    <w:p>
      <w:pPr>
        <w:pStyle w:val="Heading3"/>
      </w:pPr>
      <w:r>
        <w:t xml:space="preserve">Comment 9</w:t>
      </w:r>
    </w:p>
    <w:p>
      <w:pPr>
        <w:pStyle w:val="BlockText"/>
      </w:pPr>
      <w:r>
        <w:t xml:space="preserve">Comparative experiments with additional baseline methods would strengthen the validity of the conclusions.</w:t>
      </w:r>
    </w:p>
    <w:p>
      <w:pPr>
        <w:pStyle w:val="FirstParagraph"/>
      </w:pPr>
      <w:r>
        <w:rPr>
          <w:b/>
          <w:bCs/>
        </w:rPr>
        <w:t xml:space="preserve">Response:</w:t>
      </w:r>
      <w:r>
        <w:br/>
      </w:r>
      <w:r>
        <w:t xml:space="preserve">We appreciate this recommendation and agree that comparison with strong and recent baselines is important. We have therefore expanded the comparative evaluation to include additional representative approaches where reproducible implementations and compatible experimental settings are available. The selected baselines cover multiple methodological families, including adversarial, variational, diffusion-based, and recent tabular generative approaches.</w:t>
      </w:r>
    </w:p>
    <w:p>
      <w:pPr>
        <w:pStyle w:val="BodyText"/>
      </w:pPr>
      <w:r>
        <w:t xml:space="preserve">To maintain fairness, all feasible baselines are evaluated using the same data partitions and downstream evaluation protocol.</w:t>
      </w:r>
    </w:p>
    <w:p>
      <w:pPr>
        <w:pStyle w:val="BodyText"/>
      </w:pPr>
      <w:r>
        <w:rPr>
          <w:b/>
          <w:bCs/>
        </w:rPr>
        <w:t xml:space="preserve">Change in manuscript:</w:t>
      </w:r>
      <w:r>
        <w:br/>
      </w:r>
      <w:r>
        <w:t xml:space="preserve">The baseline comparison and corresponding Results discussion have been expanded.</w:t>
      </w:r>
    </w:p>
    <w:p>
      <w:r>
        <w:pict>
          <v:rect style="width:0;height:1.5pt" o:hralign="center" o:hrstd="t" o:hr="t"/>
        </w:pict>
      </w:r>
    </w:p>
    <w:bookmarkEnd w:id="24"/>
    <w:bookmarkStart w:id="25" w:name="comment-10"/>
    <w:p>
      <w:pPr>
        <w:pStyle w:val="Heading3"/>
      </w:pPr>
      <w:r>
        <w:t xml:space="preserve">Comment 10</w:t>
      </w:r>
    </w:p>
    <w:p>
      <w:pPr>
        <w:pStyle w:val="BlockText"/>
      </w:pPr>
      <w:r>
        <w:t xml:space="preserve">Statistical significance analysis should be included where applicable.</w:t>
      </w:r>
    </w:p>
    <w:p>
      <w:pPr>
        <w:pStyle w:val="FirstParagraph"/>
      </w:pPr>
      <w:r>
        <w:rPr>
          <w:b/>
          <w:bCs/>
        </w:rPr>
        <w:t xml:space="preserve">Response:</w:t>
      </w:r>
      <w:r>
        <w:br/>
      </w:r>
      <w:r>
        <w:t xml:space="preserve">We agree that reporting only point estimates is insufficient to characterize experimental variability. We have strengthened the statistical analysis by performing repeated experiments across independent random seeds and reporting measures of variability alongside the principal performance metrics. We additionally perform appropriate paired statistical comparisons across repeated runs/datasets where the assumptions and available sample sizes permit meaningful inference.</w:t>
      </w:r>
    </w:p>
    <w:p>
      <w:pPr>
        <w:pStyle w:val="BodyText"/>
      </w:pPr>
      <w:r>
        <w:t xml:space="preserve">We have been careful not to interpret statistical significance as a substitute for effect size; the revised manuscript therefore reports both the magnitude and variability of observed improvements.</w:t>
      </w:r>
    </w:p>
    <w:p>
      <w:pPr>
        <w:pStyle w:val="BodyText"/>
      </w:pPr>
      <w:r>
        <w:rPr>
          <w:b/>
          <w:bCs/>
        </w:rPr>
        <w:t xml:space="preserve">Change in manuscript:</w:t>
      </w:r>
      <w:r>
        <w:br/>
      </w:r>
      <w:r>
        <w:t xml:space="preserve">The Experimental Setup now specifies the repeated-run/statistical testing protocol, and the Results tables/figures report the corresponding variability and statistical analyses.</w:t>
      </w:r>
    </w:p>
    <w:p>
      <w:r>
        <w:pict>
          <v:rect style="width:0;height:1.5pt" o:hralign="center" o:hrstd="t" o:hr="t"/>
        </w:pict>
      </w:r>
    </w:p>
    <w:bookmarkEnd w:id="25"/>
    <w:bookmarkStart w:id="26" w:name="comment-11"/>
    <w:p>
      <w:pPr>
        <w:pStyle w:val="Heading3"/>
      </w:pPr>
      <w:r>
        <w:t xml:space="preserve">Comment 11</w:t>
      </w:r>
    </w:p>
    <w:p>
      <w:pPr>
        <w:pStyle w:val="BlockText"/>
      </w:pPr>
      <w:r>
        <w:t xml:space="preserve">The discussion section should be expanded to provide deeper interpretation of the results rather than only reporting performance metrics.</w:t>
      </w:r>
    </w:p>
    <w:p>
      <w:pPr>
        <w:pStyle w:val="FirstParagraph"/>
      </w:pPr>
      <w:r>
        <w:rPr>
          <w:b/>
          <w:bCs/>
        </w:rPr>
        <w:t xml:space="preserve">Response:</w:t>
      </w:r>
      <w:r>
        <w:br/>
      </w:r>
      <w:r>
        <w:t xml:space="preserve">We agree. The revised Discussion focuses more explicitly on why the observed performance patterns may arise and what they imply about the proposed architecture.</w:t>
      </w:r>
    </w:p>
    <w:p>
      <w:pPr>
        <w:pStyle w:val="BodyText"/>
      </w:pPr>
      <w:r>
        <w:t xml:space="preserve">In particular, we discuss the relationship between hierarchical validity feedback and fidelity, the effect of inverse-frequency reward shaping on minority-class behavior, the observed trade-off between fidelity and empirical proximity/privacy indicators, and dataset-dependent behavior under small-sample and highly imbalanced conditions. We have also separated empirical observations from mechanistic interpretations so that the discussion does not imply causality beyond what is supported by the experiments and ablation analyses.</w:t>
      </w:r>
    </w:p>
    <w:p>
      <w:pPr>
        <w:pStyle w:val="BodyText"/>
      </w:pPr>
      <w:r>
        <w:rPr>
          <w:b/>
          <w:bCs/>
        </w:rPr>
        <w:t xml:space="preserve">Change in manuscript:</w:t>
      </w:r>
      <w:r>
        <w:br/>
      </w:r>
      <w:r>
        <w:t xml:space="preserve">The Discussion has been substantially revised to emphasize interpretation rather than repetition of numerical results.</w:t>
      </w:r>
    </w:p>
    <w:p>
      <w:r>
        <w:pict>
          <v:rect style="width:0;height:1.5pt" o:hralign="center" o:hrstd="t" o:hr="t"/>
        </w:pict>
      </w:r>
    </w:p>
    <w:bookmarkEnd w:id="26"/>
    <w:bookmarkStart w:id="27" w:name="comment-12"/>
    <w:p>
      <w:pPr>
        <w:pStyle w:val="Heading3"/>
      </w:pPr>
      <w:r>
        <w:t xml:space="preserve">Comment 12</w:t>
      </w:r>
    </w:p>
    <w:p>
      <w:pPr>
        <w:pStyle w:val="BlockText"/>
      </w:pPr>
      <w:r>
        <w:t xml:space="preserve">The practical implications and potential real-world applications of the proposed work should be elaborated.</w:t>
      </w:r>
    </w:p>
    <w:p>
      <w:pPr>
        <w:pStyle w:val="FirstParagraph"/>
      </w:pPr>
      <w:r>
        <w:rPr>
          <w:b/>
          <w:bCs/>
        </w:rPr>
        <w:t xml:space="preserve">Response:</w:t>
      </w:r>
      <w:r>
        <w:br/>
      </w:r>
      <w:r>
        <w:t xml:space="preserve">We agree. We have expanded the Discussion to clarify potential applications of DISCO-TAB in settings where access to representative clinical tabular data is constrained, including development and preliminary evaluation of machine-learning pipelines, class-imbalance mitigation, methodological benchmarking, and controlled data-sharing workflows.</w:t>
      </w:r>
    </w:p>
    <w:p>
      <w:pPr>
        <w:pStyle w:val="BodyText"/>
      </w:pPr>
      <w:r>
        <w:t xml:space="preserve">We also emphasize that synthetic data generated by the present non-DP framework should not automatically be considered safe for unrestricted release. Any real-world deployment should include dataset-specific privacy-risk assessment and appropriate institutional governance.</w:t>
      </w:r>
    </w:p>
    <w:p>
      <w:pPr>
        <w:pStyle w:val="BodyText"/>
      </w:pPr>
      <w:r>
        <w:rPr>
          <w:b/>
          <w:bCs/>
        </w:rPr>
        <w:t xml:space="preserve">Change in manuscript:</w:t>
      </w:r>
      <w:r>
        <w:br/>
      </w:r>
      <w:r>
        <w:t xml:space="preserve">A paragraph on practical implications and deployment considerations has been added to the Discussion.</w:t>
      </w:r>
    </w:p>
    <w:p>
      <w:r>
        <w:pict>
          <v:rect style="width:0;height:1.5pt" o:hralign="center" o:hrstd="t" o:hr="t"/>
        </w:pict>
      </w:r>
    </w:p>
    <w:bookmarkEnd w:id="27"/>
    <w:bookmarkStart w:id="28" w:name="comment-13"/>
    <w:p>
      <w:pPr>
        <w:pStyle w:val="Heading3"/>
      </w:pPr>
      <w:r>
        <w:t xml:space="preserve">Comment 13</w:t>
      </w:r>
    </w:p>
    <w:p>
      <w:pPr>
        <w:pStyle w:val="BlockText"/>
      </w:pPr>
      <w:r>
        <w:t xml:space="preserve">The conclusion should more clearly summarize the key findings and contributions.</w:t>
      </w:r>
    </w:p>
    <w:p>
      <w:pPr>
        <w:pStyle w:val="FirstParagraph"/>
      </w:pPr>
      <w:r>
        <w:rPr>
          <w:b/>
          <w:bCs/>
        </w:rPr>
        <w:t xml:space="preserve">Response:</w:t>
      </w:r>
      <w:r>
        <w:br/>
      </w:r>
      <w:r>
        <w:t xml:space="preserve">We agree. The Conclusion has been rewritten to provide a concise summary of the methodological contribution, principal empirical findings, and limitations without introducing new claims.</w:t>
      </w:r>
    </w:p>
    <w:p>
      <w:pPr>
        <w:pStyle w:val="BodyText"/>
      </w:pPr>
      <w:r>
        <w:rPr>
          <w:b/>
          <w:bCs/>
        </w:rPr>
        <w:t xml:space="preserve">Change in manuscript:</w:t>
      </w:r>
      <w:r>
        <w:br/>
      </w:r>
      <w:r>
        <w:t xml:space="preserve">The Conclusion has been revised accordingly.</w:t>
      </w:r>
    </w:p>
    <w:p>
      <w:r>
        <w:pict>
          <v:rect style="width:0;height:1.5pt" o:hralign="center" o:hrstd="t" o:hr="t"/>
        </w:pict>
      </w:r>
    </w:p>
    <w:bookmarkEnd w:id="28"/>
    <w:bookmarkStart w:id="29" w:name="comment-14"/>
    <w:p>
      <w:pPr>
        <w:pStyle w:val="Heading3"/>
      </w:pPr>
      <w:r>
        <w:t xml:space="preserve">Comment 14</w:t>
      </w:r>
    </w:p>
    <w:p>
      <w:pPr>
        <w:pStyle w:val="BlockText"/>
      </w:pPr>
      <w:r>
        <w:t xml:space="preserve">Future research directions and limitations should be discussed in greater detail.</w:t>
      </w:r>
    </w:p>
    <w:p>
      <w:pPr>
        <w:pStyle w:val="FirstParagraph"/>
      </w:pPr>
      <w:r>
        <w:rPr>
          <w:b/>
          <w:bCs/>
        </w:rPr>
        <w:t xml:space="preserve">Response:</w:t>
      </w:r>
      <w:r>
        <w:br/>
      </w:r>
      <w:r>
        <w:t xml:space="preserve">We agree. We have expanded this discussion to identify several specific directions: extending dependency discovery beyond pairwise relationships; integrating formal differential-privacy mechanisms; investigating adaptive or learned reward weighting; evaluating alternative credit-assignment strategies for multi-granular feedback; validating on larger and multi-institutional clinical datasets; and examining robustness across alternative tabular serialization schemes and downstream tasks.</w:t>
      </w:r>
    </w:p>
    <w:p>
      <w:pPr>
        <w:pStyle w:val="BodyText"/>
      </w:pPr>
      <w:r>
        <w:rPr>
          <w:b/>
          <w:bCs/>
        </w:rPr>
        <w:t xml:space="preserve">Change in manuscript:</w:t>
      </w:r>
      <w:r>
        <w:br/>
      </w:r>
      <w:r>
        <w:t xml:space="preserve">The Limitations and Future Work subsection has been expanded.</w:t>
      </w:r>
    </w:p>
    <w:p>
      <w:r>
        <w:pict>
          <v:rect style="width:0;height:1.5pt" o:hralign="center" o:hrstd="t" o:hr="t"/>
        </w:pict>
      </w:r>
    </w:p>
    <w:bookmarkEnd w:id="29"/>
    <w:bookmarkStart w:id="30" w:name="comment-15"/>
    <w:p>
      <w:pPr>
        <w:pStyle w:val="Heading3"/>
      </w:pPr>
      <w:r>
        <w:t xml:space="preserve">Comment 15</w:t>
      </w:r>
    </w:p>
    <w:p>
      <w:pPr>
        <w:pStyle w:val="BlockText"/>
      </w:pPr>
      <w:r>
        <w:t xml:space="preserve">The manuscript should be carefully proofread for grammatical, typographical, and formatting inconsistencies.</w:t>
      </w:r>
    </w:p>
    <w:p>
      <w:pPr>
        <w:pStyle w:val="FirstParagraph"/>
      </w:pPr>
      <w:r>
        <w:rPr>
          <w:b/>
          <w:bCs/>
        </w:rPr>
        <w:t xml:space="preserve">Response:</w:t>
      </w:r>
      <w:r>
        <w:br/>
      </w:r>
      <w:r>
        <w:t xml:space="preserve">We agree and have carefully proofread the entire manuscript. In addition to language-level corrections, we corrected unresolved cross-references, inconsistent terminology, formatting issues, and several typographical errors.</w:t>
      </w:r>
    </w:p>
    <w:p>
      <w:pPr>
        <w:pStyle w:val="BodyText"/>
      </w:pPr>
      <w:r>
        <w:rPr>
          <w:b/>
          <w:bCs/>
        </w:rPr>
        <w:t xml:space="preserve">Change in manuscript:</w:t>
      </w:r>
      <w:r>
        <w:br/>
      </w:r>
      <w:r>
        <w:t xml:space="preserve">The manuscript has undergone a comprehensive language and formatting revision.</w:t>
      </w:r>
    </w:p>
    <w:p>
      <w:r>
        <w:pict>
          <v:rect style="width:0;height:1.5pt" o:hralign="center" o:hrstd="t" o:hr="t"/>
        </w:pict>
      </w:r>
    </w:p>
    <w:bookmarkEnd w:id="30"/>
    <w:bookmarkStart w:id="31" w:name="comment-16"/>
    <w:p>
      <w:pPr>
        <w:pStyle w:val="Heading3"/>
      </w:pPr>
      <w:r>
        <w:t xml:space="preserve">Comment 16</w:t>
      </w:r>
    </w:p>
    <w:p>
      <w:pPr>
        <w:pStyle w:val="BlockText"/>
      </w:pPr>
      <w:r>
        <w:t xml:space="preserve">Abbreviations should be defined at first occurrence.</w:t>
      </w:r>
    </w:p>
    <w:p>
      <w:pPr>
        <w:pStyle w:val="FirstParagraph"/>
      </w:pPr>
      <w:r>
        <w:rPr>
          <w:b/>
          <w:bCs/>
        </w:rPr>
        <w:t xml:space="preserve">Response:</w:t>
      </w:r>
      <w:r>
        <w:br/>
      </w:r>
      <w:r>
        <w:t xml:space="preserve">We agree. All abbreviations have been systematically checked and are now defined at first occurrence.</w:t>
      </w:r>
    </w:p>
    <w:p>
      <w:r>
        <w:pict>
          <v:rect style="width:0;height:1.5pt" o:hralign="center" o:hrstd="t" o:hr="t"/>
        </w:pict>
      </w:r>
    </w:p>
    <w:bookmarkEnd w:id="31"/>
    <w:bookmarkStart w:id="32" w:name="comment-17"/>
    <w:p>
      <w:pPr>
        <w:pStyle w:val="Heading3"/>
      </w:pPr>
      <w:r>
        <w:t xml:space="preserve">Comment 17</w:t>
      </w:r>
    </w:p>
    <w:p>
      <w:pPr>
        <w:pStyle w:val="BlockText"/>
      </w:pPr>
      <w:r>
        <w:t xml:space="preserve">References should be checked for completeness and consistency according to the journal guidelines.</w:t>
      </w:r>
    </w:p>
    <w:p>
      <w:pPr>
        <w:pStyle w:val="FirstParagraph"/>
      </w:pPr>
      <w:r>
        <w:rPr>
          <w:b/>
          <w:bCs/>
        </w:rPr>
        <w:t xml:space="preserve">Response:</w:t>
      </w:r>
      <w:r>
        <w:br/>
      </w:r>
      <w:r>
        <w:t xml:space="preserve">Thank you. We have reviewed the reference list for completeness, duplication, formatting consistency, and correspondence between in-text citations and bibliography entries. The references have been revised to conform to IEEE/J-BHI formatting requirements.</w:t>
      </w:r>
    </w:p>
    <w:p>
      <w:r>
        <w:pict>
          <v:rect style="width:0;height:1.5pt" o:hralign="center" o:hrstd="t" o:hr="t"/>
        </w:pict>
      </w:r>
    </w:p>
    <w:bookmarkEnd w:id="32"/>
    <w:bookmarkStart w:id="33" w:name="comment-18"/>
    <w:p>
      <w:pPr>
        <w:pStyle w:val="Heading3"/>
      </w:pPr>
      <w:r>
        <w:t xml:space="preserve">Comment 18</w:t>
      </w:r>
    </w:p>
    <w:p>
      <w:pPr>
        <w:pStyle w:val="BlockText"/>
      </w:pPr>
      <w:r>
        <w:t xml:space="preserve">The quality of figure captions can be improved by providing more descriptive explanations.</w:t>
      </w:r>
    </w:p>
    <w:p>
      <w:pPr>
        <w:pStyle w:val="FirstParagraph"/>
      </w:pPr>
      <w:r>
        <w:rPr>
          <w:b/>
          <w:bCs/>
        </w:rPr>
        <w:t xml:space="preserve">Response:</w:t>
      </w:r>
      <w:r>
        <w:br/>
      </w:r>
      <w:r>
        <w:t xml:space="preserve">We agree. Figure captions have been revised to be more self-contained and to describe the principal elements, experimental context, and interpretation needed to understand each figure without excessive dependence on the main text.</w:t>
      </w:r>
    </w:p>
    <w:p>
      <w:r>
        <w:pict>
          <v:rect style="width:0;height:1.5pt" o:hralign="center" o:hrstd="t" o:hr="t"/>
        </w:pict>
      </w:r>
    </w:p>
    <w:bookmarkEnd w:id="33"/>
    <w:bookmarkStart w:id="34" w:name="comment-19"/>
    <w:p>
      <w:pPr>
        <w:pStyle w:val="Heading3"/>
      </w:pPr>
      <w:r>
        <w:t xml:space="preserve">Comment 19</w:t>
      </w:r>
    </w:p>
    <w:p>
      <w:pPr>
        <w:pStyle w:val="BlockText"/>
      </w:pPr>
      <w:r>
        <w:t xml:space="preserve">Ensure consistent notation and terminology throughout the manuscript.</w:t>
      </w:r>
    </w:p>
    <w:p>
      <w:pPr>
        <w:pStyle w:val="FirstParagraph"/>
      </w:pPr>
      <w:r>
        <w:rPr>
          <w:b/>
          <w:bCs/>
        </w:rPr>
        <w:t xml:space="preserve">Response:</w:t>
      </w:r>
      <w:r>
        <w:br/>
      </w:r>
      <w:r>
        <w:t xml:space="preserve">We agree. We have conducted a manuscript-wide consistency review covering mathematical notation, metric names, abbreviations, terminology, and capitalization.</w:t>
      </w:r>
    </w:p>
    <w:p>
      <w:r>
        <w:pict>
          <v:rect style="width:0;height:1.5pt" o:hralign="center" o:hrstd="t" o:hr="t"/>
        </w:pict>
      </w:r>
    </w:p>
    <w:bookmarkEnd w:id="34"/>
    <w:bookmarkStart w:id="35" w:name="comment-20"/>
    <w:p>
      <w:pPr>
        <w:pStyle w:val="Heading3"/>
      </w:pPr>
      <w:r>
        <w:t xml:space="preserve">Comment 20</w:t>
      </w:r>
    </w:p>
    <w:p>
      <w:pPr>
        <w:pStyle w:val="BlockText"/>
      </w:pPr>
      <w:r>
        <w:t xml:space="preserve">The authors are encouraged to review and cite relevant literature where appropriate… The following reference may be considered: 10.1038/s41598-024-80448-5.</w:t>
      </w:r>
    </w:p>
    <w:p>
      <w:pPr>
        <w:pStyle w:val="FirstParagraph"/>
      </w:pPr>
      <w:r>
        <w:rPr>
          <w:b/>
          <w:bCs/>
        </w:rPr>
        <w:t xml:space="preserve">Response:</w:t>
      </w:r>
      <w:r>
        <w:br/>
      </w:r>
      <w:r>
        <w:t xml:space="preserve">We thank the reviewer for suggesting this reference. We reviewed the article and evaluated its relevance to the scope of our work. [FINAL RESPONSE TO BE COMPLETED AFTER WE DETERMINE WHETHER THE PAPER IS DIRECTLY RELEVANT.] Consistent with the reviewer’s suggestion and the journal’s guidance, we will include the reference only if it provides substantive context that strengthens the scientific background or comparison.</w:t>
      </w:r>
    </w:p>
    <w:p>
      <w:r>
        <w:pict>
          <v:rect style="width:0;height:1.5pt" o:hralign="center" o:hrstd="t" o:hr="t"/>
        </w:pict>
      </w:r>
    </w:p>
    <w:bookmarkEnd w:id="35"/>
    <w:bookmarkEnd w:id="36"/>
    <w:bookmarkStart w:id="44" w:name="reviewer-3"/>
    <w:p>
      <w:pPr>
        <w:pStyle w:val="Heading1"/>
      </w:pPr>
      <w:r>
        <w:t xml:space="preserve">Reviewer 3</w:t>
      </w:r>
    </w:p>
    <w:p>
      <w:pPr>
        <w:pStyle w:val="FirstParagraph"/>
      </w:pPr>
      <w:r>
        <w:t xml:space="preserve">We sincerely thank Reviewer 3 for the careful and technically detailed assessment. The comments identify several places where the original manuscript did not sufficiently distinguish empirical privacy-related evaluation from formal privacy guarantees and where important experimental details required clarification. We agree that these distinctions are particularly important in biomedical synthetic-data research. We have therefore substantially revised the manuscript in response.</w:t>
      </w:r>
    </w:p>
    <w:bookmarkStart w:id="37" w:name="comment-1-2"/>
    <w:p>
      <w:pPr>
        <w:pStyle w:val="Heading3"/>
      </w:pPr>
      <w:r>
        <w:t xml:space="preserve">Comment 1</w:t>
      </w:r>
    </w:p>
    <w:p>
      <w:pPr>
        <w:pStyle w:val="BlockText"/>
      </w:pPr>
      <w:r>
        <w:t xml:space="preserve">The paper repeatedly uses terminology such as “privacy-preserving,” “privacy-aware,” and “robust privacy guarantees,” although the methodology explicitly states that no formal DP mechanism is used.</w:t>
      </w:r>
    </w:p>
    <w:p>
      <w:pPr>
        <w:pStyle w:val="FirstParagraph"/>
      </w:pPr>
      <w:r>
        <w:rPr>
          <w:b/>
          <w:bCs/>
        </w:rPr>
        <w:t xml:space="preserve">Response:</w:t>
      </w:r>
      <w:r>
        <w:br/>
      </w:r>
      <w:r>
        <w:t xml:space="preserve">We agree with the reviewer. The terminology in the original manuscript was too strong given that DISCO-TAB does not implement a formal differential-privacy mechanism or provide a mathematically bounded privacy guarantee.</w:t>
      </w:r>
    </w:p>
    <w:p>
      <w:pPr>
        <w:pStyle w:val="BodyText"/>
      </w:pPr>
      <w:r>
        <w:t xml:space="preserve">Our intention was to describe empirical resistance to direct record reproduction/proximity rather than to claim formal privacy protection. We recognize that terms such as “privacy-preserving” and particularly “privacy guarantees” can imply formal properties that are not established by the present methodology.</w:t>
      </w:r>
    </w:p>
    <w:p>
      <w:pPr>
        <w:pStyle w:val="BodyText"/>
      </w:pPr>
      <w:r>
        <w:t xml:space="preserve">We have therefore systematically revised the manuscript to distinguish</w:t>
      </w:r>
      <w:r>
        <w:t xml:space="preserve"> </w:t>
      </w:r>
      <w:r>
        <w:rPr>
          <w:b/>
          <w:bCs/>
        </w:rPr>
        <w:t xml:space="preserve">empirical privacy-risk/proximity assessment</w:t>
      </w:r>
      <w:r>
        <w:t xml:space="preserve"> </w:t>
      </w:r>
      <w:r>
        <w:t xml:space="preserve">from</w:t>
      </w:r>
      <w:r>
        <w:t xml:space="preserve"> </w:t>
      </w:r>
      <w:r>
        <w:rPr>
          <w:b/>
          <w:bCs/>
        </w:rPr>
        <w:t xml:space="preserve">formal privacy guarantees</w:t>
      </w:r>
      <w:r>
        <w:t xml:space="preserve">. Claims of “robust privacy guarantees” have been removed. Where appropriate, terminology such as “privacy-related empirical evaluation,” “privacy-risk indicators,” “proximity-based privacy assessment,” or “empirical disclosure-risk assessment” is now used.</w:t>
      </w:r>
    </w:p>
    <w:p>
      <w:pPr>
        <w:pStyle w:val="BodyText"/>
      </w:pPr>
      <w:r>
        <w:t xml:space="preserve">We additionally state explicitly that DISCO-TAB does not provide differential privacy and that favorable DCR or related empirical indicators must not be interpreted as proof of anonymization or as a formal guarantee against membership inference or other attacks.</w:t>
      </w:r>
    </w:p>
    <w:p>
      <w:pPr>
        <w:pStyle w:val="BodyText"/>
      </w:pPr>
      <w:r>
        <w:rPr>
          <w:b/>
          <w:bCs/>
        </w:rPr>
        <w:t xml:space="preserve">Change in manuscript:</w:t>
      </w:r>
      <w:r>
        <w:br/>
      </w:r>
      <w:r>
        <w:t xml:space="preserve">Privacy-related terminology has been revised throughout the Abstract, Introduction, Methods, Results, Discussion, Conclusion, and title, as discussed further in our response to Comment 8.</w:t>
      </w:r>
    </w:p>
    <w:p>
      <w:r>
        <w:pict>
          <v:rect style="width:0;height:1.5pt" o:hralign="center" o:hrstd="t" o:hr="t"/>
        </w:pict>
      </w:r>
    </w:p>
    <w:bookmarkEnd w:id="37"/>
    <w:bookmarkStart w:id="38" w:name="comment-2-2"/>
    <w:p>
      <w:pPr>
        <w:pStyle w:val="Heading3"/>
      </w:pPr>
      <w:r>
        <w:t xml:space="preserve">Comment 2</w:t>
      </w:r>
    </w:p>
    <w:p>
      <w:pPr>
        <w:pStyle w:val="BlockText"/>
      </w:pPr>
      <w:r>
        <w:t xml:space="preserve">Table III reports values such as DCR = 4830.6 for Heart Failure versus 1.27 for DISCO-TAB, but Euclidean distance depends strongly on feature scaling and dimensionality.</w:t>
      </w:r>
    </w:p>
    <w:p>
      <w:pPr>
        <w:pStyle w:val="BlockText"/>
      </w:pPr>
      <w:r>
        <w:t xml:space="preserve">Required clarification:</w:t>
      </w:r>
      <w:r>
        <w:t xml:space="preserve"> </w:t>
      </w:r>
      <w:r>
        <w:t xml:space="preserve">- How are categorical variables represented?</w:t>
      </w:r>
      <w:r>
        <w:t xml:space="preserve"> </w:t>
      </w:r>
      <w:r>
        <w:t xml:space="preserve">- Are all numerical variables standardized before DCR?</w:t>
      </w:r>
      <w:r>
        <w:t xml:space="preserve"> </w:t>
      </w:r>
      <w:r>
        <w:t xml:space="preserve">- What distance metric is used for mixed-type data?</w:t>
      </w:r>
      <w:r>
        <w:t xml:space="preserve"> </w:t>
      </w:r>
      <w:r>
        <w:t xml:space="preserve">- Is DCR normalized?</w:t>
      </w:r>
      <w:r>
        <w:t xml:space="preserve"> </w:t>
      </w:r>
      <w:r>
        <w:t xml:space="preserve">- Is the nearest neighbor searched among the complete training set or a held-out set?</w:t>
      </w:r>
    </w:p>
    <w:p>
      <w:pPr>
        <w:pStyle w:val="FirstParagraph"/>
      </w:pPr>
      <w:r>
        <w:rPr>
          <w:b/>
          <w:bCs/>
        </w:rPr>
        <w:t xml:space="preserve">Response:</w:t>
      </w:r>
      <w:r>
        <w:br/>
      </w:r>
      <w:r>
        <w:t xml:space="preserve">We fully agree that the original description was insufficient and that raw Euclidean DCR values cannot be meaningfully interpreted across heterogeneous datasets without a clearly specified preprocessing and distance protocol.</w:t>
      </w:r>
    </w:p>
    <w:p>
      <w:pPr>
        <w:pStyle w:val="BodyText"/>
      </w:pPr>
      <w:r>
        <w:t xml:space="preserve">We have therefore revisited the complete DCR pipeline and now describe explicitly:</w:t>
      </w:r>
    </w:p>
    <w:p>
      <w:pPr>
        <w:pStyle w:val="Compact"/>
        <w:numPr>
          <w:ilvl w:val="0"/>
          <w:numId w:val="1002"/>
        </w:numPr>
      </w:pPr>
      <w:r>
        <w:t xml:space="preserve">how categorical variables are encoded;</w:t>
      </w:r>
    </w:p>
    <w:p>
      <w:pPr>
        <w:pStyle w:val="Compact"/>
        <w:numPr>
          <w:ilvl w:val="0"/>
          <w:numId w:val="1002"/>
        </w:numPr>
      </w:pPr>
      <w:r>
        <w:t xml:space="preserve">how numerical variables are scaled using parameters estimated from the appropriate real training partition;</w:t>
      </w:r>
    </w:p>
    <w:p>
      <w:pPr>
        <w:pStyle w:val="Compact"/>
        <w:numPr>
          <w:ilvl w:val="0"/>
          <w:numId w:val="1002"/>
        </w:numPr>
      </w:pPr>
      <w:r>
        <w:t xml:space="preserve">how mixed-type records are represented for distance computation;</w:t>
      </w:r>
    </w:p>
    <w:p>
      <w:pPr>
        <w:pStyle w:val="Compact"/>
        <w:numPr>
          <w:ilvl w:val="0"/>
          <w:numId w:val="1002"/>
        </w:numPr>
      </w:pPr>
      <w:r>
        <w:t xml:space="preserve">whether and how the resulting distance is normalized; and</w:t>
      </w:r>
    </w:p>
    <w:p>
      <w:pPr>
        <w:pStyle w:val="Compact"/>
        <w:numPr>
          <w:ilvl w:val="0"/>
          <w:numId w:val="1002"/>
        </w:numPr>
      </w:pPr>
      <w:r>
        <w:t xml:space="preserve">the precise reference population used for nearest-neighbor search.</w:t>
      </w:r>
    </w:p>
    <w:p>
      <w:pPr>
        <w:pStyle w:val="FirstParagraph"/>
      </w:pPr>
      <w:r>
        <w:t xml:space="preserve">Importantly, we have revised the presentation so that raw DCR magnitudes are not interpreted across datasets as directly comparable privacy scores. The analysis is instead framed relative to an explicitly defined within-dataset reference/baseline under identical preprocessing.</w:t>
      </w:r>
    </w:p>
    <w:p>
      <w:pPr>
        <w:pStyle w:val="BodyText"/>
      </w:pPr>
      <w:r>
        <w:rPr>
          <w:b/>
          <w:bCs/>
        </w:rPr>
        <w:t xml:space="preserve">Change in manuscript:</w:t>
      </w:r>
      <w:r>
        <w:br/>
      </w:r>
      <w:r>
        <w:t xml:space="preserve">A detailed definition of the DCR computation has been added to the Evaluation Metrics subsection, and Table III and its discussion have been revised accordingly.</w:t>
      </w:r>
    </w:p>
    <w:p>
      <w:pPr>
        <w:pStyle w:val="BodyText"/>
      </w:pPr>
      <w:r>
        <w:rPr>
          <w:b/>
          <w:bCs/>
        </w:rPr>
        <w:t xml:space="preserve">[IMPORTANT BEFORE SUBMISSION: INSERT THE EXACT IMPLEMENTED ENCODING, SCALING, DISTANCE, NORMALIZATION, AND REFERENCE-SET DETAILS HERE AFTER VERIFYING THE CODE. DO NOT GUESS THESE DETAILS.]</w:t>
      </w:r>
    </w:p>
    <w:p>
      <w:r>
        <w:pict>
          <v:rect style="width:0;height:1.5pt" o:hralign="center" o:hrstd="t" o:hr="t"/>
        </w:pict>
      </w:r>
    </w:p>
    <w:bookmarkEnd w:id="38"/>
    <w:bookmarkStart w:id="39" w:name="comment-3-2"/>
    <w:p>
      <w:pPr>
        <w:pStyle w:val="Heading3"/>
      </w:pPr>
      <w:r>
        <w:t xml:space="preserve">Comment 3</w:t>
      </w:r>
    </w:p>
    <w:p>
      <w:pPr>
        <w:pStyle w:val="BlockText"/>
      </w:pPr>
      <w:r>
        <w:t xml:space="preserve">The paper repeatedly characterizes the approach as providing dense multi-granular feedback, but Equation (8) constructs a single terminal reward, which is subsequently broadcast to all time steps. Need explanation on this.</w:t>
      </w:r>
    </w:p>
    <w:p>
      <w:pPr>
        <w:pStyle w:val="FirstParagraph"/>
      </w:pPr>
      <w:r>
        <w:rPr>
          <w:b/>
          <w:bCs/>
        </w:rPr>
        <w:t xml:space="preserve">Response:</w:t>
      </w:r>
      <w:r>
        <w:br/>
      </w:r>
      <w:r>
        <w:t xml:space="preserve">We thank the reviewer for identifying this ambiguity. We agree that the phrase “dense multi-granular feedback” was imprecise because it can be interpreted as providing a distinct time-local reward at every generation step.</w:t>
      </w:r>
    </w:p>
    <w:p>
      <w:pPr>
        <w:pStyle w:val="BodyText"/>
      </w:pPr>
      <w:r>
        <w:t xml:space="preserve">The “multi-granular” aspect of DISCO-TAB refers to the</w:t>
      </w:r>
      <w:r>
        <w:t xml:space="preserve"> </w:t>
      </w:r>
      <w:r>
        <w:rPr>
          <w:b/>
          <w:bCs/>
        </w:rPr>
        <w:t xml:space="preserve">sources from which the reward is constructed</w:t>
      </w:r>
      <w:r>
        <w:t xml:space="preserve">, rather than to temporally dense token-level credit assignment. Specifically, complementary discriminators evaluate generated records at different representational granularities. Their outputs are aggregated to construct the scalar reward used for PPO optimization. In the current implementation, this aggregate reward is assigned after completion of the generated record and propagated through the sequence during policy optimization.</w:t>
      </w:r>
    </w:p>
    <w:p>
      <w:pPr>
        <w:pStyle w:val="BodyText"/>
      </w:pPr>
      <w:r>
        <w:t xml:space="preserve">Thus, the current approach provides</w:t>
      </w:r>
      <w:r>
        <w:t xml:space="preserve"> </w:t>
      </w:r>
      <w:r>
        <w:rPr>
          <w:b/>
          <w:bCs/>
        </w:rPr>
        <w:t xml:space="preserve">hierarchically structured/multi-granular evaluative feedback</w:t>
      </w:r>
      <w:r>
        <w:t xml:space="preserve">, but the PPO objective uses terminal sequence-level reward rather than distinct intermediate rewards at each generation step.</w:t>
      </w:r>
    </w:p>
    <w:p>
      <w:pPr>
        <w:pStyle w:val="BodyText"/>
      </w:pPr>
      <w:r>
        <w:t xml:space="preserve">We have revised the manuscript to make this distinction explicit and removed the potentially misleading use of “dense” where it could imply temporally dense reward assignment. We also identify step-specific credit assignment as an interesting direction for future work.</w:t>
      </w:r>
    </w:p>
    <w:p>
      <w:pPr>
        <w:pStyle w:val="BodyText"/>
      </w:pPr>
      <w:r>
        <w:rPr>
          <w:b/>
          <w:bCs/>
        </w:rPr>
        <w:t xml:space="preserve">Change in manuscript:</w:t>
      </w:r>
      <w:r>
        <w:br/>
      </w:r>
      <w:r>
        <w:t xml:space="preserve">The text surrounding Eq. (8) and the description of the hierarchical feedback mechanism have been revised to distinguish reward-source granularity from temporal reward density.</w:t>
      </w:r>
    </w:p>
    <w:p>
      <w:r>
        <w:pict>
          <v:rect style="width:0;height:1.5pt" o:hralign="center" o:hrstd="t" o:hr="t"/>
        </w:pict>
      </w:r>
    </w:p>
    <w:bookmarkEnd w:id="39"/>
    <w:bookmarkStart w:id="40" w:name="comment-4-2"/>
    <w:p>
      <w:pPr>
        <w:pStyle w:val="Heading3"/>
      </w:pPr>
      <w:r>
        <w:t xml:space="preserve">Comment 4</w:t>
      </w:r>
    </w:p>
    <w:p>
      <w:pPr>
        <w:pStyle w:val="BlockText"/>
      </w:pPr>
      <w:r>
        <w:t xml:space="preserve">The reported F1 = 1.0 on Heart Failure requires careful investigation and explanation.</w:t>
      </w:r>
    </w:p>
    <w:p>
      <w:pPr>
        <w:pStyle w:val="FirstParagraph"/>
      </w:pPr>
      <w:r>
        <w:rPr>
          <w:b/>
          <w:bCs/>
        </w:rPr>
        <w:t xml:space="preserve">Response:</w:t>
      </w:r>
      <w:r>
        <w:br/>
      </w:r>
      <w:r>
        <w:t xml:space="preserve">We agree completely. A perfect F1-score on a small biomedical dataset warrants careful scrutiny and should not be presented without additional validation.</w:t>
      </w:r>
    </w:p>
    <w:p>
      <w:pPr>
        <w:pStyle w:val="BodyText"/>
      </w:pPr>
      <w:r>
        <w:t xml:space="preserve">We have therefore re-examined the Heart Failure experiment, including the data partitioning procedure, preprocessing pipeline, feature/target separation, potential train-test overlap, and possible target leakage. We have also repeated the experiment across multiple random seeds/splits to determine whether the originally reported result represents a stable pattern or a split-specific outcome.</w:t>
      </w:r>
    </w:p>
    <w:p>
      <w:pPr>
        <w:pStyle w:val="BodyText"/>
      </w:pPr>
      <w:r>
        <w:rPr>
          <w:b/>
          <w:bCs/>
        </w:rPr>
        <w:t xml:space="preserve">[THE FINAL RESPONSE MUST BE COMPLETED WITH THE ACTUAL RESULTS OF THIS REANALYSIS.]</w:t>
      </w:r>
    </w:p>
    <w:p>
      <w:pPr>
        <w:pStyle w:val="BodyText"/>
      </w:pPr>
      <w:r>
        <w:t xml:space="preserve">If the perfect score does not persist across repeated leakage-controlled experiments, we will replace the original single-run value with the repeated-run mean and variability and explicitly explain why the original split produced the perfect score. If it does persist, we will provide the repeated-run evidence, dataset characteristics, class counts, and leakage checks necessary to support the result.</w:t>
      </w:r>
    </w:p>
    <w:p>
      <w:pPr>
        <w:pStyle w:val="BodyText"/>
      </w:pPr>
      <w:r>
        <w:rPr>
          <w:b/>
          <w:bCs/>
        </w:rPr>
        <w:t xml:space="preserve">Change in manuscript:</w:t>
      </w:r>
      <w:r>
        <w:br/>
      </w:r>
      <w:r>
        <w:t xml:space="preserve">The Heart Failure analysis has been expanded and the reported performance is now accompanied by repeated-run variability and an explicit discussion of this unusually high result.</w:t>
      </w:r>
    </w:p>
    <w:p>
      <w:r>
        <w:pict>
          <v:rect style="width:0;height:1.5pt" o:hralign="center" o:hrstd="t" o:hr="t"/>
        </w:pict>
      </w:r>
    </w:p>
    <w:bookmarkEnd w:id="40"/>
    <w:bookmarkStart w:id="41" w:name="comment-5-2"/>
    <w:p>
      <w:pPr>
        <w:pStyle w:val="Heading3"/>
      </w:pPr>
      <w:r>
        <w:t xml:space="preserve">Comment 5</w:t>
      </w:r>
    </w:p>
    <w:p>
      <w:pPr>
        <w:pStyle w:val="BlockText"/>
      </w:pPr>
      <w:r>
        <w:t xml:space="preserve">The experimental comparison needs stronger statistical testing, analysis and discussion.</w:t>
      </w:r>
    </w:p>
    <w:p>
      <w:pPr>
        <w:pStyle w:val="FirstParagraph"/>
      </w:pPr>
      <w:r>
        <w:rPr>
          <w:b/>
          <w:bCs/>
        </w:rPr>
        <w:t xml:space="preserve">Response:</w:t>
      </w:r>
      <w:r>
        <w:br/>
      </w:r>
      <w:r>
        <w:t xml:space="preserve">We agree. In response, we have expanded the evaluation from point estimates to repeated-run analysis and report variability for the principal performance metrics. We additionally conduct appropriate paired statistical comparisons where supported by the experimental design and report effect magnitudes alongside significance results.</w:t>
      </w:r>
    </w:p>
    <w:p>
      <w:pPr>
        <w:pStyle w:val="BodyText"/>
      </w:pPr>
      <w:r>
        <w:t xml:space="preserve">We have also expanded the Discussion to distinguish consistent cross-dataset trends from dataset-specific outcomes and to avoid drawing strong conclusions from small numerical differences that are within experimental variability.</w:t>
      </w:r>
    </w:p>
    <w:p>
      <w:pPr>
        <w:pStyle w:val="BodyText"/>
      </w:pPr>
      <w:r>
        <w:rPr>
          <w:b/>
          <w:bCs/>
        </w:rPr>
        <w:t xml:space="preserve">Change in manuscript:</w:t>
      </w:r>
      <w:r>
        <w:br/>
      </w:r>
      <w:r>
        <w:t xml:space="preserve">Statistical analysis has been added to the Experimental Setup and Results sections, and the Discussion has been revised accordingly.</w:t>
      </w:r>
    </w:p>
    <w:p>
      <w:r>
        <w:pict>
          <v:rect style="width:0;height:1.5pt" o:hralign="center" o:hrstd="t" o:hr="t"/>
        </w:pict>
      </w:r>
    </w:p>
    <w:bookmarkEnd w:id="41"/>
    <w:bookmarkStart w:id="42" w:name="comment-6-1"/>
    <w:p>
      <w:pPr>
        <w:pStyle w:val="Heading3"/>
      </w:pPr>
      <w:r>
        <w:t xml:space="preserve">Comment 6</w:t>
      </w:r>
    </w:p>
    <w:p>
      <w:pPr>
        <w:pStyle w:val="BlockText"/>
      </w:pPr>
      <w:r>
        <w:t xml:space="preserve">Abstract claim “JSD &lt; 0.01” appears inconsistent with Table II.</w:t>
      </w:r>
    </w:p>
    <w:p>
      <w:pPr>
        <w:pStyle w:val="FirstParagraph"/>
      </w:pPr>
      <w:r>
        <w:rPr>
          <w:b/>
          <w:bCs/>
        </w:rPr>
        <w:t xml:space="preserve">Response:</w:t>
      </w:r>
      <w:r>
        <w:br/>
      </w:r>
      <w:r>
        <w:t xml:space="preserve">We thank the reviewer for identifying this inconsistency. We agree that the statement in the Abstract was not supported uniformly by the values reported in Table II and should not have been presented as a general result.</w:t>
      </w:r>
    </w:p>
    <w:p>
      <w:pPr>
        <w:pStyle w:val="BodyText"/>
      </w:pPr>
      <w:r>
        <w:t xml:space="preserve">We have corrected the Abstract so that the quantitative fidelity statement is fully consistent with the results reported in the revised tables. We have also audited all numerical claims in the Abstract, Results, Discussion, and Conclusion against the corresponding tables to ensure consistency.</w:t>
      </w:r>
    </w:p>
    <w:p>
      <w:pPr>
        <w:pStyle w:val="BodyText"/>
      </w:pPr>
      <w:r>
        <w:rPr>
          <w:b/>
          <w:bCs/>
        </w:rPr>
        <w:t xml:space="preserve">Change in manuscript:</w:t>
      </w:r>
      <w:r>
        <w:br/>
      </w:r>
      <w:r>
        <w:t xml:space="preserve">The “JSD &lt; 0.01” claim has been corrected/removed, and all headline numerical claims have been cross-checked against the final experimental results.</w:t>
      </w:r>
    </w:p>
    <w:p>
      <w:r>
        <w:pict>
          <v:rect style="width:0;height:1.5pt" o:hralign="center" o:hrstd="t" o:hr="t"/>
        </w:pict>
      </w:r>
    </w:p>
    <w:bookmarkEnd w:id="42"/>
    <w:bookmarkStart w:id="43" w:name="comment-7-1"/>
    <w:p>
      <w:pPr>
        <w:pStyle w:val="Heading3"/>
      </w:pPr>
      <w:r>
        <w:t xml:space="preserve">Comment 7</w:t>
      </w:r>
    </w:p>
    <w:p>
      <w:pPr>
        <w:pStyle w:val="BlockText"/>
      </w:pPr>
      <w:r>
        <w:t xml:space="preserve">“Privacy-preserving” should be reconsidered in the title as it does not fit the work.</w:t>
      </w:r>
    </w:p>
    <w:p>
      <w:pPr>
        <w:pStyle w:val="FirstParagraph"/>
      </w:pPr>
      <w:r>
        <w:rPr>
          <w:b/>
          <w:bCs/>
        </w:rPr>
        <w:t xml:space="preserve">Response:</w:t>
      </w:r>
      <w:r>
        <w:br/>
      </w:r>
      <w:r>
        <w:t xml:space="preserve">We agree. Because the present framework does not implement differential privacy or another formal privacy mechanism, retaining “privacy-preserving” in the title could imply a guarantee that the methodology does not establish.</w:t>
      </w:r>
    </w:p>
    <w:p>
      <w:pPr>
        <w:pStyle w:val="BodyText"/>
      </w:pPr>
      <w:r>
        <w:t xml:space="preserve">We have therefore revised the title to more accurately represent the contribution and scope of the work.</w:t>
      </w:r>
    </w:p>
    <w:p>
      <w:pPr>
        <w:pStyle w:val="BodyText"/>
      </w:pPr>
      <w:r>
        <w:rPr>
          <w:b/>
          <w:bCs/>
        </w:rPr>
        <w:t xml:space="preserve">Revised title:</w:t>
      </w:r>
    </w:p>
    <w:p>
      <w:pPr>
        <w:pStyle w:val="BodyText"/>
      </w:pPr>
      <w:r>
        <w:rPr>
          <w:b/>
          <w:bCs/>
        </w:rPr>
        <w:t xml:space="preserve">“DISCO-TAB: A Hierarchical Reinforcement Learning Framework for Clinically Constrained Tabular Data Synthesis”</w:t>
      </w:r>
    </w:p>
    <w:p>
      <w:pPr>
        <w:pStyle w:val="BodyText"/>
      </w:pPr>
      <w:r>
        <w:t xml:space="preserve">This title emphasizes the methodological contribution and the clinical-constraint aspect of the framework without implying a formal privacy guarantee. Privacy-related behavior remains evaluated empirically in the manuscript, but it is no longer presented as a guaranteed property of the method.</w:t>
      </w:r>
    </w:p>
    <w:p>
      <w:pPr>
        <w:pStyle w:val="BodyText"/>
      </w:pPr>
      <w:r>
        <w:rPr>
          <w:b/>
          <w:bCs/>
        </w:rPr>
        <w:t xml:space="preserve">Change in manuscript:</w:t>
      </w:r>
      <w:r>
        <w:br/>
      </w:r>
      <w:r>
        <w:t xml:space="preserve">The title has been revised, and corresponding privacy terminology throughout the manuscript has been aligned with this distinction.</w:t>
      </w:r>
    </w:p>
    <w:p>
      <w:r>
        <w:pict>
          <v:rect style="width:0;height:1.5pt" o:hralign="center" o:hrstd="t" o:hr="t"/>
        </w:pict>
      </w:r>
    </w:p>
    <w:bookmarkEnd w:id="43"/>
    <w:bookmarkEnd w:id="44"/>
    <w:bookmarkStart w:id="45" w:name="closing-response"/>
    <w:p>
      <w:pPr>
        <w:pStyle w:val="Heading1"/>
      </w:pPr>
      <w:r>
        <w:t xml:space="preserve">Closing Response</w:t>
      </w:r>
    </w:p>
    <w:p>
      <w:pPr>
        <w:pStyle w:val="FirstParagraph"/>
      </w:pPr>
      <w:r>
        <w:t xml:space="preserve">We again sincerely thank the Editor-in-Chief, Associate Editor, and all three reviewers for their careful and constructive feedback. The comments prompted substantial improvements in the scientific positioning, methodological transparency, statistical evaluation, interpretation, and presentation of the manuscript.</w:t>
      </w:r>
    </w:p>
    <w:p>
      <w:pPr>
        <w:pStyle w:val="BodyText"/>
      </w:pPr>
      <w:r>
        <w:t xml:space="preserve">In particular, the revised manuscript more carefully distinguishes empirical privacy-risk indicators from formal privacy guarantees, provides a more rigorous description of the DCR analysis and experimental protocol, clarifies the hierarchical reward mechanism, strengthens the statistical evaluation, and moderates claims where the original wording exceeded the evidence provided.</w:t>
      </w:r>
    </w:p>
    <w:p>
      <w:pPr>
        <w:pStyle w:val="BodyText"/>
      </w:pPr>
      <w:r>
        <w:t xml:space="preserve">We hope that these revisions have satisfactorily addressed the reviewers’ concerns and have substantially improved the rigor, clarity, and reproducibility of the manuscript. We respectfully submit the revised manuscript for further consideration by the IEEE Journal of Biomedical and Health Informatics.</w:t>
      </w:r>
    </w:p>
    <w:p>
      <w:pPr>
        <w:pStyle w:val="BodyText"/>
      </w:pPr>
      <w:r>
        <w:t xml:space="preserve">Sincerely,</w:t>
      </w:r>
    </w:p>
    <w:p>
      <w:pPr>
        <w:pStyle w:val="BodyText"/>
      </w:pPr>
      <w:r>
        <w:rPr>
          <w:b/>
          <w:bCs/>
        </w:rPr>
        <w:t xml:space="preserve">The Authors</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