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muegyhkgv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BFSI Product Overview – SBI YONO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xnuafay9s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Firm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Bank of India is the country’s largest banking and financial services organization, with an asset base exceeding ₹ 61 trillion and serving over 50 crore customers through 22,500+ branches and 63,580 ATMs nationwide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SBI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raln94xwc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Details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YONO (You Only Need One) is SBI’s integrated digital banking and lifestyle platform, available on Android and iOS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It was launched on 24 November 2017 under the internal codename “Project Lotus” to unify banking, payments, investments, insurance, loans, shopping, and travel bookings within a single app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Key features include funds transfer (UPI/BHIM), video KYC account opening, loan applications, insurance linkage, ATMs withdrawals via “YONO Cash,” and access to e-commerce offers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Android Apps on Google Play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xzwhu6iuk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Stakeholders and Employees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Chairman: Shri Challa Sreenivasulu Setty</w:t>
        <w:br w:type="textWrapping"/>
        <w:t xml:space="preserve"> Managing Directors: Shri Ashwini Kumar Tewari; Shri Vinay M Tonse; Shri Rana Ashutosh Kumar Singh; Shri Rama Mohan Rao Amara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SBI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As of 31 March 2024, SBI employs approximately 232,296 staff globally, with women comprising nearly 27 percent of the workforce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mjq8m3o2g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and Adoption Metrics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8.77 crore users are registered on YONO, driving 64 percent of new savings accounts in FY25; digital channels now process &gt; 98 percent of all transactions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SBI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The platform generates fee income of around ₹ 100 crore per quarter and supports a digital loan book approaching ₹ 30,000 crore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The Economic Times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SBI’s digital-first strategy is reflected in 15,800 peak transactions per second on alternate channels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SBI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conomictimes.indiatimes.com/industry/banking/finance/banking/yono-app-fetches-rs-100-crore-in-fee-income-every-quarter-says-sbi-chairman/articleshow/103403474.cms?utm_source=chatgpt.com" TargetMode="External"/><Relationship Id="rId11" Type="http://schemas.openxmlformats.org/officeDocument/2006/relationships/hyperlink" Target="https://en.wikipedia.org/wiki/YONO?utm_source=chatgpt.com" TargetMode="External"/><Relationship Id="rId22" Type="http://schemas.openxmlformats.org/officeDocument/2006/relationships/hyperlink" Target="https://sbi.co.in/documents/17836/0/SBI%2BAnalyst%2BPresentation%2BQ4FY25.pdf/d496fee6-a237-4328-a5ff-7246e4b736b4?t=1746263845521" TargetMode="External"/><Relationship Id="rId10" Type="http://schemas.openxmlformats.org/officeDocument/2006/relationships/hyperlink" Target="https://en.wikipedia.org/wiki/YONO?utm_source=chatgpt.com" TargetMode="External"/><Relationship Id="rId21" Type="http://schemas.openxmlformats.org/officeDocument/2006/relationships/hyperlink" Target="https://economictimes.indiatimes.com/industry/banking/finance/banking/yono-app-fetches-rs-100-crore-in-fee-income-every-quarter-says-sbi-chairman/articleshow/103403474.cms?utm_source=chatgpt.com" TargetMode="External"/><Relationship Id="rId13" Type="http://schemas.openxmlformats.org/officeDocument/2006/relationships/hyperlink" Target="https://play.google.com/store/apps/details?id=com.sbi.lotusintouch&amp;utm_source=chatgpt.com" TargetMode="External"/><Relationship Id="rId12" Type="http://schemas.openxmlformats.org/officeDocument/2006/relationships/hyperlink" Target="https://play.google.com/store/apps/details?id=com.sbi.lotusintouch&amp;utm_source=chatgpt.com" TargetMode="External"/><Relationship Id="rId23" Type="http://schemas.openxmlformats.org/officeDocument/2006/relationships/hyperlink" Target="https://sbi.co.in/documents/17836/0/SBI%2BAnalyst%2BPresentation%2BQ4FY25.pdf/d496fee6-a237-4328-a5ff-7246e4b736b4?t=17462638455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YONO?utm_source=chatgpt.com" TargetMode="External"/><Relationship Id="rId15" Type="http://schemas.openxmlformats.org/officeDocument/2006/relationships/hyperlink" Target="https://sbi.co.in/web/about-us/board-of-directors?utm_source=chatgpt.com" TargetMode="External"/><Relationship Id="rId14" Type="http://schemas.openxmlformats.org/officeDocument/2006/relationships/hyperlink" Target="https://sbi.co.in/web/about-us/board-of-directors?utm_source=chatgpt.com" TargetMode="External"/><Relationship Id="rId17" Type="http://schemas.openxmlformats.org/officeDocument/2006/relationships/hyperlink" Target="https://en.wikipedia.org/wiki/State_Bank_of_India?utm_source=chatgpt.com" TargetMode="External"/><Relationship Id="rId16" Type="http://schemas.openxmlformats.org/officeDocument/2006/relationships/hyperlink" Target="https://en.wikipedia.org/wiki/State_Bank_of_India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sbi.co.in/documents/17836/0/SBI%2BAnalyst%2BPresentation%2BQ4FY25.pdf/d496fee6-a237-4328-a5ff-7246e4b736b4?t=1746263845521" TargetMode="External"/><Relationship Id="rId6" Type="http://schemas.openxmlformats.org/officeDocument/2006/relationships/hyperlink" Target="https://sbi.co.in/web/about-us/about-us?utm_source=chatgpt.com" TargetMode="External"/><Relationship Id="rId18" Type="http://schemas.openxmlformats.org/officeDocument/2006/relationships/hyperlink" Target="https://sbi.co.in/documents/17836/0/SBI%2BAnalyst%2BPresentation%2BQ4FY25.pdf/d496fee6-a237-4328-a5ff-7246e4b736b4?t=1746263845521" TargetMode="External"/><Relationship Id="rId7" Type="http://schemas.openxmlformats.org/officeDocument/2006/relationships/hyperlink" Target="https://sbi.co.in/web/about-us/about-us?utm_source=chatgpt.com" TargetMode="External"/><Relationship Id="rId8" Type="http://schemas.openxmlformats.org/officeDocument/2006/relationships/hyperlink" Target="https://en.wikipedia.org/wiki/YONO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