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Deployment, Scaling &amp; Operational Standards</w:t>
      </w:r>
    </w:p>
    <w:p>
      <w:pPr>
        <w:spacing w:after="40"/>
      </w:pPr>
      <w:r>
        <w:rPr>
          <w:color w:val="2E74B5"/>
          <w:sz w:val="22"/>
          <w:szCs w:val="22"/>
        </w:rPr>
        <w:t xml:space="preserve">A review of the current Render-based hosting setup and a practical path to organization-grade infrastructure</w:t>
      </w:r>
    </w:p>
    <w:p>
      <w:pPr>
        <w:spacing w:after="400"/>
      </w:pPr>
      <w:r>
        <w:rPr>
          <w:i/>
          <w:iCs/>
          <w:color w:val="595959"/>
          <w:sz w:val="18"/>
          <w:szCs w:val="18"/>
        </w:rPr>
        <w:t xml:space="preserve">Prepared for Arshith — Kynvera Home, Municipality, and Fire applications  |  August 7, 2026</w:t>
      </w:r>
    </w:p>
    <w:p>
      <w:pPr>
        <w:pStyle w:val="Heading1"/>
        <w:pBdr>
          <w:bottom w:val="single" w:color="1F3864" w:sz="6" w:space="4"/>
        </w:pBdr>
        <w:spacing w:after="160" w:before="400"/>
      </w:pPr>
      <w:r>
        <w:rPr>
          <w:b/>
          <w:bCs/>
          <w:color w:val="1F3864"/>
          <w:sz w:val="28"/>
          <w:szCs w:val="28"/>
        </w:rPr>
        <w:t xml:space="preserve">Executive Summary</w:t>
      </w:r>
    </w:p>
    <w:p>
      <w:pPr>
        <w:spacing w:after="160" w:line="276"/>
      </w:pPr>
      <w:r>
        <w:rPr>
          <w:color w:val="202020"/>
          <w:sz w:val="21"/>
          <w:szCs w:val="21"/>
        </w:rPr>
        <w:t xml:space="preserve">The three applications — Kynvera Home (the SSO/landing hub), the Municipality app, and the Fire app — are three independent Flask services, each with its own Render web service and its own managed Postgres database, tied together by a shared JWT secret for single sign-on. Cloudinary handles media storage, and Brevo/Mailjet handle transactional email. This is a coherent, sensible architecture for the current stage, and Render is not the weak point — the gaps are in the operational layer around it: how deploys are gated, how secrets are managed, how errors are seen, and how the setup would be described to an outside party.</w:t>
      </w:r>
    </w:p>
    <w:p>
      <w:pPr>
        <w:spacing w:after="160" w:line="276"/>
      </w:pPr>
      <w:r>
        <w:rPr>
          <w:color w:val="202020"/>
          <w:sz w:val="21"/>
          <w:szCs w:val="21"/>
        </w:rPr>
        <w:t xml:space="preserve">The honest answer to "should we move to AWS, Google Cloud, or Azure" is: not yet, and not because of technical limits — Render can carry meaningfully more traffic than these three apps currently see. The reason to stay is that a hyperscaler replaces a small number of Render settings with a much larger set of things someone has to own — networking, IAM policies, patching, cost management — and none of that maturity exists yet on the operational side. Moving to AWS before fixing logging, secrets, and CI/CD would just relocate the same gaps onto a more expensive, more complex platform.</w:t>
      </w:r>
    </w:p>
    <w:p>
      <w:pPr>
        <w:spacing w:after="160" w:line="276"/>
      </w:pPr>
      <w:r>
        <w:rPr>
          <w:color w:val="202020"/>
          <w:sz w:val="21"/>
          <w:szCs w:val="21"/>
        </w:rPr>
        <w:t xml:space="preserve">The recommendation is a two-phase plan. Phase one, over the next few weeks, hardens the current Render deployment to the standard a bigger IT services company would actually expect: infrastructure as code, gated CI/CD, centralized logging and error tracking, managed secrets, tested backups, and a one-page hosting brief that can be handed to any third party who asks how the platform is run. Phase two is a deliberate, trigger-based migration to a managed cloud platform (most likely AWS App Runner/ECS or Google Cloud Run, sitting on RDS) once there is a concrete reason — a compliance requirement, a specific scaling ceiling being hit, or a customer contract that demands it. Phase one is where essentially all of the near-term risk gets removed, and it is also what makes phase two straightforward if and when it is needed.</w:t>
      </w:r>
    </w:p>
    <w:p>
      <w:pPr>
        <w:pStyle w:val="Heading1"/>
        <w:pBdr>
          <w:bottom w:val="single" w:color="1F3864" w:sz="6" w:space="4"/>
        </w:pBdr>
        <w:spacing w:after="160" w:before="400"/>
      </w:pPr>
      <w:r>
        <w:rPr>
          <w:b/>
          <w:bCs/>
          <w:color w:val="1F3864"/>
          <w:sz w:val="28"/>
          <w:szCs w:val="28"/>
        </w:rPr>
        <w:t xml:space="preserve">1. Current Deployment Footprint</w:t>
      </w:r>
    </w:p>
    <w:p>
      <w:pPr>
        <w:spacing w:after="160" w:line="276"/>
      </w:pPr>
      <w:r>
        <w:rPr>
          <w:color w:val="202020"/>
          <w:sz w:val="21"/>
          <w:szCs w:val="21"/>
        </w:rPr>
        <w:t xml:space="preserve">This section reflects what is actually configured in the three repositories today, not a generic template.</w:t>
      </w:r>
    </w:p>
    <w:p>
      <w:pPr>
        <w:pStyle w:val="Heading2"/>
        <w:spacing w:after="120" w:before="280"/>
      </w:pPr>
      <w:r>
        <w:rPr>
          <w:b/>
          <w:bCs/>
          <w:color w:val="2E74B5"/>
          <w:sz w:val="24"/>
          <w:szCs w:val="24"/>
        </w:rPr>
        <w:t xml:space="preserve">1.1 Architecture</w:t>
      </w:r>
    </w:p>
    <w:p>
      <w:pPr>
        <w:spacing w:after="160" w:line="276"/>
      </w:pPr>
      <w:r>
        <w:rPr>
          <w:b/>
          <w:bCs/>
          <w:color w:val="1F3864"/>
          <w:sz w:val="21"/>
          <w:szCs w:val="21"/>
        </w:rPr>
        <w:t xml:space="preserve">Three separate Render web services, one shared database pattern. </w:t>
      </w:r>
      <w:r>
        <w:rPr>
          <w:color w:val="202020"/>
          <w:sz w:val="21"/>
          <w:szCs w:val="21"/>
        </w:rPr>
        <w:t xml:space="preserve">kynvera-home (App-1) is the landing/auth/SSO hub, running on the kynvera-main branch, and links out to the Fire and Municipality apps via URLs it holds as environment variables. Each of the three repos ships its own render.yaml and provisions its own managed Postgres instance on Render — they are not sharing one database. SSO across the three works because they share the same JWT_SECRET_KEY, set independently in each service's dashboard.</w:t>
      </w:r>
    </w:p>
    <w:p>
      <w:pPr>
        <w:spacing w:after="160" w:line="276"/>
      </w:pPr>
      <w:r>
        <w:rPr>
          <w:b/>
          <w:bCs/>
          <w:color w:val="1F3864"/>
          <w:sz w:val="21"/>
          <w:szCs w:val="21"/>
        </w:rPr>
        <w:t xml:space="preserve">Runtime. </w:t>
      </w:r>
      <w:r>
        <w:rPr>
          <w:color w:val="202020"/>
          <w:sz w:val="21"/>
          <w:szCs w:val="21"/>
        </w:rPr>
        <w:t xml:space="preserve">All three are Python 3.11 / Flask, served by Gunicorn with a gthread worker class. Kynvera Home runs 2 workers with a 120s timeout; the Fire and Municipality apps run a single worker with a 300s timeout — a configuration built for low concurrency, not one sized for growth.</w:t>
      </w:r>
    </w:p>
    <w:p>
      <w:pPr>
        <w:spacing w:after="160" w:line="276"/>
      </w:pPr>
      <w:r>
        <w:rPr>
          <w:b/>
          <w:bCs/>
          <w:color w:val="1F3864"/>
          <w:sz w:val="21"/>
          <w:szCs w:val="21"/>
        </w:rPr>
        <w:t xml:space="preserve">Third parties in the stack today. </w:t>
      </w:r>
      <w:r>
        <w:rPr>
          <w:color w:val="202020"/>
          <w:sz w:val="21"/>
          <w:szCs w:val="21"/>
        </w:rPr>
        <w:t xml:space="preserve">Cloudinary for image/document storage and delivery; Brevo and Mailjet both appear as configured email providers (Brevo on the Home and Fire apps, Mailjet on Municipality and Fire) — i.e. there are two transactional email vendors live across the estate, most likely one primary and one fallback; and Redis (Upstash, based on the rediss:// URL convention referenced in the configs) as an optional store for rate limiting.</w:t>
      </w:r>
    </w:p>
    <w:p>
      <w:pPr>
        <w:pStyle w:val="Heading2"/>
        <w:spacing w:after="120" w:before="280"/>
      </w:pPr>
      <w:r>
        <w:rPr>
          <w:b/>
          <w:bCs/>
          <w:color w:val="2E74B5"/>
          <w:sz w:val="24"/>
          <w:szCs w:val="24"/>
        </w:rPr>
        <w:t xml:space="preserve">1.2 What's already in reasonably good shape</w:t>
      </w:r>
    </w:p>
    <w:p>
      <w:pPr>
        <w:pStyle w:val="ListParagraph"/>
        <w:numPr>
          <w:ilvl w:val="0"/>
          <w:numId w:val="2"/>
        </w:numPr>
        <w:spacing w:after="90" w:line="270"/>
      </w:pPr>
      <w:r>
        <w:rPr>
          <w:color w:val="202020"/>
          <w:sz w:val="21"/>
          <w:szCs w:val="21"/>
        </w:rPr>
        <w:t xml:space="preserve">render.yaml exists in all three repos — deployment configuration is already version-controlled rather than click-configured, which is the right starting point for infrastructure as code.</w:t>
      </w:r>
    </w:p>
    <w:p>
      <w:pPr>
        <w:pStyle w:val="ListParagraph"/>
        <w:numPr>
          <w:ilvl w:val="0"/>
          <w:numId w:val="2"/>
        </w:numPr>
        <w:spacing w:after="90" w:line="270"/>
      </w:pPr>
      <w:r>
        <w:rPr>
          <w:color w:val="202020"/>
          <w:sz w:val="21"/>
          <w:szCs w:val="21"/>
        </w:rPr>
        <w:t xml:space="preserve">A GitHub Actions CI workflow exists for two of the three repos (Kynvera Home, Municipality), running flake8 and pytest on every push/PR.</w:t>
      </w:r>
    </w:p>
    <w:p>
      <w:pPr>
        <w:pStyle w:val="ListParagraph"/>
        <w:numPr>
          <w:ilvl w:val="0"/>
          <w:numId w:val="2"/>
        </w:numPr>
        <w:spacing w:after="90" w:line="270"/>
      </w:pPr>
      <w:r>
        <w:rPr>
          <w:color w:val="202020"/>
          <w:sz w:val="21"/>
          <w:szCs w:val="21"/>
        </w:rPr>
        <w:t xml:space="preserve">Health check endpoints (/health) exist and are wired into Render's own health checking on at least one service.</w:t>
      </w:r>
    </w:p>
    <w:p>
      <w:pPr>
        <w:pStyle w:val="ListParagraph"/>
        <w:numPr>
          <w:ilvl w:val="0"/>
          <w:numId w:val="2"/>
        </w:numPr>
        <w:spacing w:after="90" w:line="270"/>
      </w:pPr>
      <w:r>
        <w:rPr>
          <w:color w:val="202020"/>
          <w:sz w:val="21"/>
          <w:szCs w:val="21"/>
        </w:rPr>
        <w:t xml:space="preserve">A monitoring/error-tracking plan (Sentry, uptime monitoring, log aggregation) is already documented in MONITORING_SETUP.md — it has just not been implemented yet.</w:t>
      </w:r>
    </w:p>
    <w:p>
      <w:pPr>
        <w:pStyle w:val="ListParagraph"/>
        <w:numPr>
          <w:ilvl w:val="0"/>
          <w:numId w:val="2"/>
        </w:numPr>
        <w:spacing w:after="90" w:line="270"/>
      </w:pPr>
      <w:r>
        <w:rPr>
          <w:color w:val="202020"/>
          <w:sz w:val="21"/>
          <w:szCs w:val="21"/>
        </w:rPr>
        <w:t xml:space="preserve">Database guidance already exists covering backup-before-edit discipline and use of Render's own managed Postgres backups.</w:t>
      </w:r>
    </w:p>
    <w:p>
      <w:pPr>
        <w:pStyle w:val="Heading2"/>
        <w:spacing w:after="120" w:before="280"/>
      </w:pPr>
      <w:r>
        <w:rPr>
          <w:b/>
          <w:bCs/>
          <w:color w:val="2E74B5"/>
          <w:sz w:val="24"/>
          <w:szCs w:val="24"/>
        </w:rPr>
        <w:t xml:space="preserve">1.3 Where the real gaps are</w:t>
      </w:r>
    </w:p>
    <w:p>
      <w:pPr>
        <w:spacing w:after="160" w:line="276"/>
      </w:pPr>
      <w:r>
        <w:rPr>
          <w:color w:val="202020"/>
          <w:sz w:val="21"/>
          <w:szCs w:val="21"/>
        </w:rPr>
        <w:t xml:space="preserve">None of these are architecture problems — they are the operational scaffolding that turns a working app into something an organization can stand behind. They are the difference between "it runs fine on Render" and "here is how we run this, and here is proof."</w:t>
      </w:r>
    </w:p>
    <w:p>
      <w:pPr>
        <w:pStyle w:val="ListParagraph"/>
        <w:numPr>
          <w:ilvl w:val="0"/>
          <w:numId w:val="2"/>
        </w:numPr>
        <w:spacing w:after="90" w:line="270"/>
      </w:pPr>
      <w:r>
        <w:rPr>
          <w:color w:val="202020"/>
          <w:sz w:val="21"/>
          <w:szCs w:val="21"/>
        </w:rPr>
        <w:t xml:space="preserve">No centralized, structured logging. Logs are written to a local rotating file (logs/injaaz.log) inside each container, which disappears on every redeploy and is invisible outside Render's own log tail.</w:t>
      </w:r>
    </w:p>
    <w:p>
      <w:pPr>
        <w:pStyle w:val="ListParagraph"/>
        <w:numPr>
          <w:ilvl w:val="0"/>
          <w:numId w:val="2"/>
        </w:numPr>
        <w:spacing w:after="90" w:line="270"/>
      </w:pPr>
      <w:r>
        <w:rPr>
          <w:color w:val="202020"/>
          <w:sz w:val="21"/>
          <w:szCs w:val="21"/>
        </w:rPr>
        <w:t xml:space="preserve">No error tracking or APM in production. Sentry is documented but sentry-sdk is not in any requirements file — exceptions are currently only visible if someone happens to be watching the Render log stream at the moment they occur.</w:t>
      </w:r>
    </w:p>
    <w:p>
      <w:pPr>
        <w:pStyle w:val="ListParagraph"/>
        <w:numPr>
          <w:ilvl w:val="0"/>
          <w:numId w:val="2"/>
        </w:numPr>
        <w:spacing w:after="90" w:line="270"/>
      </w:pPr>
      <w:r>
        <w:rPr>
          <w:color w:val="202020"/>
          <w:sz w:val="21"/>
          <w:szCs w:val="21"/>
        </w:rPr>
        <w:t xml:space="preserve">Secrets are managed by hand. Every credential (Cloudinary, Brevo/Mailjet, JWT secret, database URL overrides) is pasted into the Render dashboard per service with sync: false, with no record of who set what, when, or why, and no rotation process.</w:t>
      </w:r>
    </w:p>
    <w:p>
      <w:pPr>
        <w:pStyle w:val="ListParagraph"/>
        <w:numPr>
          <w:ilvl w:val="0"/>
          <w:numId w:val="2"/>
        </w:numPr>
        <w:spacing w:after="90" w:line="270"/>
      </w:pPr>
      <w:r>
        <w:rPr>
          <w:color w:val="202020"/>
          <w:sz w:val="21"/>
          <w:szCs w:val="21"/>
        </w:rPr>
        <w:t xml:space="preserve">CI/CD is a test gate, not a deploy pipeline. GitHub Actions runs lint and tests, but there's no staging environment, no required review/approval step tied to production deploys, and the Fire app has no CI at all.</w:t>
      </w:r>
    </w:p>
    <w:p>
      <w:pPr>
        <w:pStyle w:val="ListParagraph"/>
        <w:numPr>
          <w:ilvl w:val="0"/>
          <w:numId w:val="2"/>
        </w:numPr>
        <w:spacing w:after="90" w:line="270"/>
      </w:pPr>
      <w:r>
        <w:rPr>
          <w:color w:val="202020"/>
          <w:sz w:val="21"/>
          <w:szCs w:val="21"/>
        </w:rPr>
        <w:t xml:space="preserve">No uptime monitoring or alerting is active — /health exists but nothing external is polling it or paging anyone when it fails.</w:t>
      </w:r>
    </w:p>
    <w:p>
      <w:pPr>
        <w:pStyle w:val="ListParagraph"/>
        <w:numPr>
          <w:ilvl w:val="0"/>
          <w:numId w:val="2"/>
        </w:numPr>
        <w:spacing w:after="90" w:line="270"/>
      </w:pPr>
      <w:r>
        <w:rPr>
          <w:color w:val="202020"/>
          <w:sz w:val="21"/>
          <w:szCs w:val="21"/>
        </w:rPr>
        <w:t xml:space="preserve">Single-worker Gunicorn on two of the three apps means a slow request blocks the whole app, and there is no autoscaling configured anywhere.</w:t>
      </w:r>
    </w:p>
    <w:p>
      <w:pPr>
        <w:pStyle w:val="ListParagraph"/>
        <w:numPr>
          <w:ilvl w:val="0"/>
          <w:numId w:val="2"/>
        </w:numPr>
        <w:spacing w:after="90" w:line="270"/>
      </w:pPr>
      <w:r>
        <w:rPr>
          <w:color w:val="202020"/>
          <w:sz w:val="21"/>
          <w:szCs w:val="21"/>
        </w:rPr>
        <w:t xml:space="preserve">Documentation is extensive but scattered — each repo has 25+ standalone markdown files (cleanup reports, fix logs, guides) with no single current-state "how this is actually run" document.</w:t>
      </w:r>
    </w:p>
    <w:p>
      <w:pPr>
        <w:pStyle w:val="Heading1"/>
        <w:pBdr>
          <w:bottom w:val="single" w:color="1F3864" w:sz="6" w:space="4"/>
        </w:pBdr>
        <w:spacing w:after="160" w:before="400"/>
      </w:pPr>
      <w:r>
        <w:rPr>
          <w:b/>
          <w:bCs/>
          <w:color w:val="1F3864"/>
          <w:sz w:val="28"/>
          <w:szCs w:val="28"/>
        </w:rPr>
        <w:t xml:space="preserve">2. Current State vs. Organizational Standard</w:t>
      </w:r>
    </w:p>
    <w:p>
      <w:pPr>
        <w:spacing w:after="160" w:line="276"/>
      </w:pPr>
      <w:r>
        <w:rPr>
          <w:color w:val="202020"/>
          <w:sz w:val="21"/>
          <w:szCs w:val="21"/>
        </w:rPr>
        <w:t xml:space="preserve">This is the comparison that matters when a partner, auditor, or enterprise customer asks "how do you run this?" — the right-hand column is roughly what a mid-size IT services company would expect to hear, regardless of whether the hosting is Render or a hyperscaler.</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613"/>
        <w:gridCol w:w="2621"/>
        <w:gridCol w:w="3024"/>
        <w:gridCol w:w="2822"/>
      </w:tblGrid>
      <w:tr>
        <w:trPr>
          <w:tblHeader/>
        </w:trPr>
        <w:tc>
          <w:tcPr>
            <w:tcW w:type="dxa" w:w="1613"/>
            <w:shd w:fill="1F3864" w:val="clear"/>
            <w:tcMar>
              <w:top w:type="dxa" w:w="90"/>
              <w:left w:type="dxa" w:w="120"/>
              <w:bottom w:type="dxa" w:w="90"/>
              <w:right w:type="dxa" w:w="120"/>
            </w:tcMar>
            <w:vAlign w:val="center"/>
          </w:tcPr>
          <w:p>
            <w:pPr>
              <w:jc w:val="left"/>
            </w:pPr>
            <w:r>
              <w:rPr>
                <w:b/>
                <w:bCs/>
                <w:color w:val="FFFFFF"/>
                <w:sz w:val="19"/>
                <w:szCs w:val="19"/>
              </w:rPr>
              <w:t xml:space="preserve">Area</w:t>
            </w:r>
          </w:p>
        </w:tc>
        <w:tc>
          <w:tcPr>
            <w:tcW w:type="dxa" w:w="2621"/>
            <w:shd w:fill="1F3864" w:val="clear"/>
            <w:tcMar>
              <w:top w:type="dxa" w:w="90"/>
              <w:left w:type="dxa" w:w="120"/>
              <w:bottom w:type="dxa" w:w="90"/>
              <w:right w:type="dxa" w:w="120"/>
            </w:tcMar>
            <w:vAlign w:val="center"/>
          </w:tcPr>
          <w:p>
            <w:pPr>
              <w:jc w:val="left"/>
            </w:pPr>
            <w:r>
              <w:rPr>
                <w:b/>
                <w:bCs/>
                <w:color w:val="FFFFFF"/>
                <w:sz w:val="19"/>
                <w:szCs w:val="19"/>
              </w:rPr>
              <w:t xml:space="preserve">Current State</w:t>
            </w:r>
          </w:p>
        </w:tc>
        <w:tc>
          <w:tcPr>
            <w:tcW w:type="dxa" w:w="3024"/>
            <w:shd w:fill="1F3864" w:val="clear"/>
            <w:tcMar>
              <w:top w:type="dxa" w:w="90"/>
              <w:left w:type="dxa" w:w="120"/>
              <w:bottom w:type="dxa" w:w="90"/>
              <w:right w:type="dxa" w:w="120"/>
            </w:tcMar>
            <w:vAlign w:val="center"/>
          </w:tcPr>
          <w:p>
            <w:pPr>
              <w:jc w:val="left"/>
            </w:pPr>
            <w:r>
              <w:rPr>
                <w:b/>
                <w:bCs/>
                <w:color w:val="FFFFFF"/>
                <w:sz w:val="19"/>
                <w:szCs w:val="19"/>
              </w:rPr>
              <w:t xml:space="preserve">Organization Standard</w:t>
            </w:r>
          </w:p>
        </w:tc>
        <w:tc>
          <w:tcPr>
            <w:tcW w:type="dxa" w:w="2822"/>
            <w:shd w:fill="1F3864" w:val="clear"/>
            <w:tcMar>
              <w:top w:type="dxa" w:w="90"/>
              <w:left w:type="dxa" w:w="120"/>
              <w:bottom w:type="dxa" w:w="90"/>
              <w:right w:type="dxa" w:w="120"/>
            </w:tcMar>
            <w:vAlign w:val="center"/>
          </w:tcPr>
          <w:p>
            <w:pPr>
              <w:jc w:val="left"/>
            </w:pPr>
            <w:r>
              <w:rPr>
                <w:b/>
                <w:bCs/>
                <w:color w:val="FFFFFF"/>
                <w:sz w:val="19"/>
                <w:szCs w:val="19"/>
              </w:rPr>
              <w:t xml:space="preserve">Risk if left unaddressed</w:t>
            </w:r>
          </w:p>
        </w:tc>
      </w:tr>
      <w:tr>
        <w:tc>
          <w:tcPr>
            <w:tcW w:type="dxa" w:w="1613"/>
            <w:tcMar>
              <w:top w:type="dxa" w:w="90"/>
              <w:left w:type="dxa" w:w="120"/>
              <w:bottom w:type="dxa" w:w="90"/>
              <w:right w:type="dxa" w:w="120"/>
            </w:tcMar>
            <w:vAlign w:val="center"/>
          </w:tcPr>
          <w:p>
            <w:pPr>
              <w:jc w:val="left"/>
            </w:pPr>
            <w:r>
              <w:rPr>
                <w:b w:val="false"/>
                <w:bCs w:val="false"/>
                <w:color w:val="202020"/>
                <w:sz w:val="19"/>
                <w:szCs w:val="19"/>
              </w:rPr>
              <w:t xml:space="preserve">Infrastructure config</w:t>
            </w:r>
          </w:p>
        </w:tc>
        <w:tc>
          <w:tcPr>
            <w:tcW w:type="dxa" w:w="2621"/>
            <w:tcMar>
              <w:top w:type="dxa" w:w="90"/>
              <w:left w:type="dxa" w:w="120"/>
              <w:bottom w:type="dxa" w:w="90"/>
              <w:right w:type="dxa" w:w="120"/>
            </w:tcMar>
            <w:vAlign w:val="center"/>
          </w:tcPr>
          <w:p>
            <w:pPr>
              <w:jc w:val="left"/>
            </w:pPr>
            <w:r>
              <w:rPr>
                <w:b w:val="false"/>
                <w:bCs w:val="false"/>
                <w:color w:val="202020"/>
                <w:sz w:val="19"/>
                <w:szCs w:val="19"/>
              </w:rPr>
              <w:t xml:space="preserve">render.yaml per repo, edited manually alongside dashboard clicks</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IaC is the single source of truth; dashboard changes are the exception, not the norm</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Config drift between what's in git and what's actually running</w:t>
            </w:r>
          </w:p>
        </w:tc>
      </w:tr>
      <w:tr>
        <w:tc>
          <w:tcPr>
            <w:tcW w:type="dxa" w:w="1613"/>
            <w:shd w:fill="EAF1F8" w:val="clear"/>
            <w:tcMar>
              <w:top w:type="dxa" w:w="90"/>
              <w:left w:type="dxa" w:w="120"/>
              <w:bottom w:type="dxa" w:w="90"/>
              <w:right w:type="dxa" w:w="120"/>
            </w:tcMar>
            <w:vAlign w:val="center"/>
          </w:tcPr>
          <w:p>
            <w:pPr>
              <w:jc w:val="left"/>
            </w:pPr>
            <w:r>
              <w:rPr>
                <w:b w:val="false"/>
                <w:bCs w:val="false"/>
                <w:color w:val="202020"/>
                <w:sz w:val="19"/>
                <w:szCs w:val="19"/>
              </w:rPr>
              <w:t xml:space="preserve">Environments</w:t>
            </w:r>
          </w:p>
        </w:tc>
        <w:tc>
          <w:tcPr>
            <w:tcW w:type="dxa" w:w="262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Production only; no staging/preview</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Dev/staging/prod separation, or at minimum PR preview environments</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Every change is tested for the first time in production</w:t>
            </w:r>
          </w:p>
        </w:tc>
      </w:tr>
      <w:tr>
        <w:tc>
          <w:tcPr>
            <w:tcW w:type="dxa" w:w="1613"/>
            <w:tcMar>
              <w:top w:type="dxa" w:w="90"/>
              <w:left w:type="dxa" w:w="120"/>
              <w:bottom w:type="dxa" w:w="90"/>
              <w:right w:type="dxa" w:w="120"/>
            </w:tcMar>
            <w:vAlign w:val="center"/>
          </w:tcPr>
          <w:p>
            <w:pPr>
              <w:jc w:val="left"/>
            </w:pPr>
            <w:r>
              <w:rPr>
                <w:b w:val="false"/>
                <w:bCs w:val="false"/>
                <w:color w:val="202020"/>
                <w:sz w:val="19"/>
                <w:szCs w:val="19"/>
              </w:rPr>
              <w:t xml:space="preserve">CI/CD</w:t>
            </w:r>
          </w:p>
        </w:tc>
        <w:tc>
          <w:tcPr>
            <w:tcW w:type="dxa" w:w="2621"/>
            <w:tcMar>
              <w:top w:type="dxa" w:w="90"/>
              <w:left w:type="dxa" w:w="120"/>
              <w:bottom w:type="dxa" w:w="90"/>
              <w:right w:type="dxa" w:w="120"/>
            </w:tcMar>
            <w:vAlign w:val="center"/>
          </w:tcPr>
          <w:p>
            <w:pPr>
              <w:jc w:val="left"/>
            </w:pPr>
            <w:r>
              <w:rPr>
                <w:b w:val="false"/>
                <w:bCs w:val="false"/>
                <w:color w:val="202020"/>
                <w:sz w:val="19"/>
                <w:szCs w:val="19"/>
              </w:rPr>
              <w:t xml:space="preserve">Lint + test on 2 of 3 repos; auto-deploy on push</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Tests + security scan gate every merge; deploys are reviewed and reversible</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A bad commit reaches users with no checkpoint</w:t>
            </w:r>
          </w:p>
        </w:tc>
      </w:tr>
      <w:tr>
        <w:tc>
          <w:tcPr>
            <w:tcW w:type="dxa" w:w="1613"/>
            <w:shd w:fill="EAF1F8" w:val="clear"/>
            <w:tcMar>
              <w:top w:type="dxa" w:w="90"/>
              <w:left w:type="dxa" w:w="120"/>
              <w:bottom w:type="dxa" w:w="90"/>
              <w:right w:type="dxa" w:w="120"/>
            </w:tcMar>
            <w:vAlign w:val="center"/>
          </w:tcPr>
          <w:p>
            <w:pPr>
              <w:jc w:val="left"/>
            </w:pPr>
            <w:r>
              <w:rPr>
                <w:b w:val="false"/>
                <w:bCs w:val="false"/>
                <w:color w:val="202020"/>
                <w:sz w:val="19"/>
                <w:szCs w:val="19"/>
              </w:rPr>
              <w:t xml:space="preserve">Secrets</w:t>
            </w:r>
          </w:p>
        </w:tc>
        <w:tc>
          <w:tcPr>
            <w:tcW w:type="dxa" w:w="262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Manually pasted per service, untracked, unrotated</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Centralized secret store (vault/env groups), owned and rotated on a schedule</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No audit trail; a leaked key can't be traced or rotated confidently</w:t>
            </w:r>
          </w:p>
        </w:tc>
      </w:tr>
      <w:tr>
        <w:tc>
          <w:tcPr>
            <w:tcW w:type="dxa" w:w="1613"/>
            <w:tcMar>
              <w:top w:type="dxa" w:w="90"/>
              <w:left w:type="dxa" w:w="120"/>
              <w:bottom w:type="dxa" w:w="90"/>
              <w:right w:type="dxa" w:w="120"/>
            </w:tcMar>
            <w:vAlign w:val="center"/>
          </w:tcPr>
          <w:p>
            <w:pPr>
              <w:jc w:val="left"/>
            </w:pPr>
            <w:r>
              <w:rPr>
                <w:b w:val="false"/>
                <w:bCs w:val="false"/>
                <w:color w:val="202020"/>
                <w:sz w:val="19"/>
                <w:szCs w:val="19"/>
              </w:rPr>
              <w:t xml:space="preserve">Logging</w:t>
            </w:r>
          </w:p>
        </w:tc>
        <w:tc>
          <w:tcPr>
            <w:tcW w:type="dxa" w:w="2621"/>
            <w:tcMar>
              <w:top w:type="dxa" w:w="90"/>
              <w:left w:type="dxa" w:w="120"/>
              <w:bottom w:type="dxa" w:w="90"/>
              <w:right w:type="dxa" w:w="120"/>
            </w:tcMar>
            <w:vAlign w:val="center"/>
          </w:tcPr>
          <w:p>
            <w:pPr>
              <w:jc w:val="left"/>
            </w:pPr>
            <w:r>
              <w:rPr>
                <w:b w:val="false"/>
                <w:bCs w:val="false"/>
                <w:color w:val="202020"/>
                <w:sz w:val="19"/>
                <w:szCs w:val="19"/>
              </w:rPr>
              <w:t xml:space="preserve">Local rotating file inside each container</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Centralized, structured, searchable logs retained independently of the container</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Evidence disappears on every redeploy or crash</w:t>
            </w:r>
          </w:p>
        </w:tc>
      </w:tr>
      <w:tr>
        <w:tc>
          <w:tcPr>
            <w:tcW w:type="dxa" w:w="1613"/>
            <w:shd w:fill="EAF1F8" w:val="clear"/>
            <w:tcMar>
              <w:top w:type="dxa" w:w="90"/>
              <w:left w:type="dxa" w:w="120"/>
              <w:bottom w:type="dxa" w:w="90"/>
              <w:right w:type="dxa" w:w="120"/>
            </w:tcMar>
            <w:vAlign w:val="center"/>
          </w:tcPr>
          <w:p>
            <w:pPr>
              <w:jc w:val="left"/>
            </w:pPr>
            <w:r>
              <w:rPr>
                <w:b w:val="false"/>
                <w:bCs w:val="false"/>
                <w:color w:val="202020"/>
                <w:sz w:val="19"/>
                <w:szCs w:val="19"/>
              </w:rPr>
              <w:t xml:space="preserve">Error tracking</w:t>
            </w:r>
          </w:p>
        </w:tc>
        <w:tc>
          <w:tcPr>
            <w:tcW w:type="dxa" w:w="262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None (planned, not installed)</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Real-time exception capture with alerting</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Production bugs are found by users, not by the team</w:t>
            </w:r>
          </w:p>
        </w:tc>
      </w:tr>
      <w:tr>
        <w:tc>
          <w:tcPr>
            <w:tcW w:type="dxa" w:w="1613"/>
            <w:tcMar>
              <w:top w:type="dxa" w:w="90"/>
              <w:left w:type="dxa" w:w="120"/>
              <w:bottom w:type="dxa" w:w="90"/>
              <w:right w:type="dxa" w:w="120"/>
            </w:tcMar>
            <w:vAlign w:val="center"/>
          </w:tcPr>
          <w:p>
            <w:pPr>
              <w:jc w:val="left"/>
            </w:pPr>
            <w:r>
              <w:rPr>
                <w:b w:val="false"/>
                <w:bCs w:val="false"/>
                <w:color w:val="202020"/>
                <w:sz w:val="19"/>
                <w:szCs w:val="19"/>
              </w:rPr>
              <w:t xml:space="preserve">Uptime/alerting</w:t>
            </w:r>
          </w:p>
        </w:tc>
        <w:tc>
          <w:tcPr>
            <w:tcW w:type="dxa" w:w="2621"/>
            <w:tcMar>
              <w:top w:type="dxa" w:w="90"/>
              <w:left w:type="dxa" w:w="120"/>
              <w:bottom w:type="dxa" w:w="90"/>
              <w:right w:type="dxa" w:w="120"/>
            </w:tcMar>
            <w:vAlign w:val="center"/>
          </w:tcPr>
          <w:p>
            <w:pPr>
              <w:jc w:val="left"/>
            </w:pPr>
            <w:r>
              <w:rPr>
                <w:b w:val="false"/>
                <w:bCs w:val="false"/>
                <w:color w:val="202020"/>
                <w:sz w:val="19"/>
                <w:szCs w:val="19"/>
              </w:rPr>
              <w:t xml:space="preserve">None active</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External health checks with paging (email/Slack/SMS)</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Downtime is discovered by users, not by monitoring</w:t>
            </w:r>
          </w:p>
        </w:tc>
      </w:tr>
      <w:tr>
        <w:tc>
          <w:tcPr>
            <w:tcW w:type="dxa" w:w="1613"/>
            <w:shd w:fill="EAF1F8" w:val="clear"/>
            <w:tcMar>
              <w:top w:type="dxa" w:w="90"/>
              <w:left w:type="dxa" w:w="120"/>
              <w:bottom w:type="dxa" w:w="90"/>
              <w:right w:type="dxa" w:w="120"/>
            </w:tcMar>
            <w:vAlign w:val="center"/>
          </w:tcPr>
          <w:p>
            <w:pPr>
              <w:jc w:val="left"/>
            </w:pPr>
            <w:r>
              <w:rPr>
                <w:b w:val="false"/>
                <w:bCs w:val="false"/>
                <w:color w:val="202020"/>
                <w:sz w:val="19"/>
                <w:szCs w:val="19"/>
              </w:rPr>
              <w:t xml:space="preserve">Backups/DR</w:t>
            </w:r>
          </w:p>
        </w:tc>
        <w:tc>
          <w:tcPr>
            <w:tcW w:type="dxa" w:w="262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Render managed Postgres backups + manual scripts</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Tested restore process with a documented RTO/RPO</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A backup that's never been restored is unproven</w:t>
            </w:r>
          </w:p>
        </w:tc>
      </w:tr>
      <w:tr>
        <w:tc>
          <w:tcPr>
            <w:tcW w:type="dxa" w:w="1613"/>
            <w:tcMar>
              <w:top w:type="dxa" w:w="90"/>
              <w:left w:type="dxa" w:w="120"/>
              <w:bottom w:type="dxa" w:w="90"/>
              <w:right w:type="dxa" w:w="120"/>
            </w:tcMar>
            <w:vAlign w:val="center"/>
          </w:tcPr>
          <w:p>
            <w:pPr>
              <w:jc w:val="left"/>
            </w:pPr>
            <w:r>
              <w:rPr>
                <w:b w:val="false"/>
                <w:bCs w:val="false"/>
                <w:color w:val="202020"/>
                <w:sz w:val="19"/>
                <w:szCs w:val="19"/>
              </w:rPr>
              <w:t xml:space="preserve">Scaling</w:t>
            </w:r>
          </w:p>
        </w:tc>
        <w:tc>
          <w:tcPr>
            <w:tcW w:type="dxa" w:w="2621"/>
            <w:tcMar>
              <w:top w:type="dxa" w:w="90"/>
              <w:left w:type="dxa" w:w="120"/>
              <w:bottom w:type="dxa" w:w="90"/>
              <w:right w:type="dxa" w:w="120"/>
            </w:tcMar>
            <w:vAlign w:val="center"/>
          </w:tcPr>
          <w:p>
            <w:pPr>
              <w:jc w:val="left"/>
            </w:pPr>
            <w:r>
              <w:rPr>
                <w:b w:val="false"/>
                <w:bCs w:val="false"/>
                <w:color w:val="202020"/>
                <w:sz w:val="19"/>
                <w:szCs w:val="19"/>
              </w:rPr>
              <w:t xml:space="preserve">Fixed 1–2 workers, no autoscaling</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Autoscaling tied to load, sized per service</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Traffic spikes degrade or take down the app</w:t>
            </w:r>
          </w:p>
        </w:tc>
      </w:tr>
      <w:tr>
        <w:tc>
          <w:tcPr>
            <w:tcW w:type="dxa" w:w="1613"/>
            <w:shd w:fill="EAF1F8" w:val="clear"/>
            <w:tcMar>
              <w:top w:type="dxa" w:w="90"/>
              <w:left w:type="dxa" w:w="120"/>
              <w:bottom w:type="dxa" w:w="90"/>
              <w:right w:type="dxa" w:w="120"/>
            </w:tcMar>
            <w:vAlign w:val="center"/>
          </w:tcPr>
          <w:p>
            <w:pPr>
              <w:jc w:val="left"/>
            </w:pPr>
            <w:r>
              <w:rPr>
                <w:b w:val="false"/>
                <w:bCs w:val="false"/>
                <w:color w:val="202020"/>
                <w:sz w:val="19"/>
                <w:szCs w:val="19"/>
              </w:rPr>
              <w:t xml:space="preserve">Vendor documentation</w:t>
            </w:r>
          </w:p>
        </w:tc>
        <w:tc>
          <w:tcPr>
            <w:tcW w:type="dxa" w:w="262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Scattered across many markdown files</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One current hosting/data-flow brief, kept up to date</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Can't answer a partner's security questionnaire quickly or consistently</w:t>
            </w:r>
          </w:p>
        </w:tc>
      </w:tr>
    </w:tbl>
    <w:p>
      <w:pPr>
        <w:pStyle w:val="Heading1"/>
        <w:pBdr>
          <w:bottom w:val="single" w:color="1F3864" w:sz="6" w:space="4"/>
        </w:pBdr>
        <w:spacing w:after="160" w:before="400"/>
      </w:pPr>
      <w:r>
        <w:rPr>
          <w:b/>
          <w:bCs/>
          <w:color w:val="1F3864"/>
          <w:sz w:val="28"/>
          <w:szCs w:val="28"/>
        </w:rPr>
        <w:t xml:space="preserve">3. Should This Move to AWS, Google Cloud, or Azure?</w:t>
      </w:r>
    </w:p>
    <w:p>
      <w:pPr>
        <w:spacing w:after="160" w:line="276"/>
      </w:pPr>
      <w:r>
        <w:rPr>
          <w:color w:val="202020"/>
          <w:sz w:val="21"/>
          <w:szCs w:val="21"/>
        </w:rPr>
        <w:t xml:space="preserve">Not yet — and the reasoning matters more than the answer. Render, AWS App Runner, Google Cloud Run, and Azure Container Apps are all solving the same problem at this scale: run a container, attach a managed database, handle TLS and scaling. The difference is how much undifferentiated operational work you take on. A hyperscaler gives you far more control — VPCs, IAM, multi-region, dozens of managed services — but every one of those is also something a person has to configure correctly and keep configured correctly. Render's current 2026 platform already covers the mechanics that matter here: load-based autoscaling, private networking between services, persistent disks, zero-downtime deploys, PR-based preview environments, and managed highly-available Postgres and Redis — all on plans well below what a self-managed AWS setup would cost in engineering time alone.</w:t>
      </w:r>
    </w:p>
    <w:p>
      <w:pPr>
        <w:spacing w:after="160" w:line="276"/>
      </w:pPr>
      <w:r>
        <w:rPr>
          <w:color w:val="202020"/>
          <w:sz w:val="21"/>
          <w:szCs w:val="21"/>
        </w:rPr>
        <w:t xml:space="preserve">The case for moving to a hyperscaler is real, but it's triggered by specific things, not by the size of the company you eventually want to be. Move when one of these becomes true, not before:</w:t>
      </w:r>
    </w:p>
    <w:p>
      <w:pPr>
        <w:pStyle w:val="ListParagraph"/>
        <w:numPr>
          <w:ilvl w:val="0"/>
          <w:numId w:val="2"/>
        </w:numPr>
        <w:spacing w:after="90" w:line="270"/>
      </w:pPr>
      <w:r>
        <w:rPr>
          <w:color w:val="202020"/>
          <w:sz w:val="21"/>
          <w:szCs w:val="21"/>
        </w:rPr>
        <w:t xml:space="preserve">A customer or regulator requires a specific compliance posture (SOC 2 Type II, HIPAA, a specific data-residency region) that the hosting provider itself must formally support.</w:t>
      </w:r>
    </w:p>
    <w:p>
      <w:pPr>
        <w:pStyle w:val="ListParagraph"/>
        <w:numPr>
          <w:ilvl w:val="0"/>
          <w:numId w:val="2"/>
        </w:numPr>
        <w:spacing w:after="90" w:line="270"/>
      </w:pPr>
      <w:r>
        <w:rPr>
          <w:color w:val="202020"/>
          <w:sz w:val="21"/>
          <w:szCs w:val="21"/>
        </w:rPr>
        <w:t xml:space="preserve">You need infrastructure Render doesn't offer — VPC peering into another company's private network, dedicated hardware, multi-region active-active failover.</w:t>
      </w:r>
    </w:p>
    <w:p>
      <w:pPr>
        <w:pStyle w:val="ListParagraph"/>
        <w:numPr>
          <w:ilvl w:val="0"/>
          <w:numId w:val="2"/>
        </w:numPr>
        <w:spacing w:after="90" w:line="270"/>
      </w:pPr>
      <w:r>
        <w:rPr>
          <w:color w:val="202020"/>
          <w:sz w:val="21"/>
          <w:szCs w:val="21"/>
        </w:rPr>
        <w:t xml:space="preserve">You've genuinely outgrown Render's autoscaling ceiling under real, measured load — not anticipated load.</w:t>
      </w:r>
    </w:p>
    <w:p>
      <w:pPr>
        <w:pStyle w:val="ListParagraph"/>
        <w:numPr>
          <w:ilvl w:val="0"/>
          <w:numId w:val="2"/>
        </w:numPr>
        <w:spacing w:after="90" w:line="270"/>
      </w:pPr>
      <w:r>
        <w:rPr>
          <w:color w:val="202020"/>
          <w:sz w:val="21"/>
          <w:szCs w:val="21"/>
        </w:rPr>
        <w:t xml:space="preserve">You're consolidating many more services and it becomes cheaper to run your own platform team than to keep paying per-service PaaS pricing.</w:t>
      </w:r>
    </w:p>
    <w:p>
      <w:pPr>
        <w:spacing w:after="160" w:line="276"/>
      </w:pPr>
      <w:r>
        <w:rPr>
          <w:color w:val="202020"/>
          <w:sz w:val="21"/>
          <w:szCs w:val="21"/>
        </w:rPr>
        <w:t xml:space="preserve">None of those are true today. The three apps here are well inside what a properly configured Render setup handles comfortably. The productive move right now is to make the current setup look and behave like something a bigger company runs — which is entirely achievable on Render — and treat a cloud migration as a deliberate, funded project for later, not a reaction to a vague sense that "real companies use AWS."</w:t>
      </w:r>
    </w:p>
    <w:p>
      <w:pPr>
        <w:pStyle w:val="Heading1"/>
        <w:pBdr>
          <w:bottom w:val="single" w:color="1F3864" w:sz="6" w:space="4"/>
        </w:pBdr>
        <w:spacing w:after="160" w:before="400"/>
      </w:pPr>
      <w:r>
        <w:rPr>
          <w:b/>
          <w:bCs/>
          <w:color w:val="1F3864"/>
          <w:sz w:val="28"/>
          <w:szCs w:val="28"/>
        </w:rPr>
        <w:t xml:space="preserve">4. Recommended Roadmap</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411"/>
        <w:gridCol w:w="1814"/>
        <w:gridCol w:w="4032"/>
        <w:gridCol w:w="2822"/>
      </w:tblGrid>
      <w:tr>
        <w:trPr>
          <w:tblHeader/>
        </w:trPr>
        <w:tc>
          <w:tcPr>
            <w:tcW w:type="dxa" w:w="1411"/>
            <w:shd w:fill="1F3864" w:val="clear"/>
            <w:tcMar>
              <w:top w:type="dxa" w:w="90"/>
              <w:left w:type="dxa" w:w="120"/>
              <w:bottom w:type="dxa" w:w="90"/>
              <w:right w:type="dxa" w:w="120"/>
            </w:tcMar>
            <w:vAlign w:val="center"/>
          </w:tcPr>
          <w:p>
            <w:pPr>
              <w:jc w:val="left"/>
            </w:pPr>
            <w:r>
              <w:rPr>
                <w:b/>
                <w:bCs/>
                <w:color w:val="FFFFFF"/>
                <w:sz w:val="19"/>
                <w:szCs w:val="19"/>
              </w:rPr>
              <w:t xml:space="preserve">Phase</w:t>
            </w:r>
          </w:p>
        </w:tc>
        <w:tc>
          <w:tcPr>
            <w:tcW w:type="dxa" w:w="1814"/>
            <w:shd w:fill="1F3864" w:val="clear"/>
            <w:tcMar>
              <w:top w:type="dxa" w:w="90"/>
              <w:left w:type="dxa" w:w="120"/>
              <w:bottom w:type="dxa" w:w="90"/>
              <w:right w:type="dxa" w:w="120"/>
            </w:tcMar>
            <w:vAlign w:val="center"/>
          </w:tcPr>
          <w:p>
            <w:pPr>
              <w:jc w:val="left"/>
            </w:pPr>
            <w:r>
              <w:rPr>
                <w:b/>
                <w:bCs/>
                <w:color w:val="FFFFFF"/>
                <w:sz w:val="19"/>
                <w:szCs w:val="19"/>
              </w:rPr>
              <w:t xml:space="preserve">Timeframe</w:t>
            </w:r>
          </w:p>
        </w:tc>
        <w:tc>
          <w:tcPr>
            <w:tcW w:type="dxa" w:w="4032"/>
            <w:shd w:fill="1F3864" w:val="clear"/>
            <w:tcMar>
              <w:top w:type="dxa" w:w="90"/>
              <w:left w:type="dxa" w:w="120"/>
              <w:bottom w:type="dxa" w:w="90"/>
              <w:right w:type="dxa" w:w="120"/>
            </w:tcMar>
            <w:vAlign w:val="center"/>
          </w:tcPr>
          <w:p>
            <w:pPr>
              <w:jc w:val="left"/>
            </w:pPr>
            <w:r>
              <w:rPr>
                <w:b/>
                <w:bCs/>
                <w:color w:val="FFFFFF"/>
                <w:sz w:val="19"/>
                <w:szCs w:val="19"/>
              </w:rPr>
              <w:t xml:space="preserve">Focus</w:t>
            </w:r>
          </w:p>
        </w:tc>
        <w:tc>
          <w:tcPr>
            <w:tcW w:type="dxa" w:w="2822"/>
            <w:shd w:fill="1F3864" w:val="clear"/>
            <w:tcMar>
              <w:top w:type="dxa" w:w="90"/>
              <w:left w:type="dxa" w:w="120"/>
              <w:bottom w:type="dxa" w:w="90"/>
              <w:right w:type="dxa" w:w="120"/>
            </w:tcMar>
            <w:vAlign w:val="center"/>
          </w:tcPr>
          <w:p>
            <w:pPr>
              <w:jc w:val="left"/>
            </w:pPr>
            <w:r>
              <w:rPr>
                <w:b/>
                <w:bCs/>
                <w:color w:val="FFFFFF"/>
                <w:sz w:val="19"/>
                <w:szCs w:val="19"/>
              </w:rPr>
              <w:t xml:space="preserve">Outcome</w:t>
            </w:r>
          </w:p>
        </w:tc>
      </w:tr>
      <w:tr>
        <w:tc>
          <w:tcPr>
            <w:tcW w:type="dxa" w:w="1411"/>
            <w:tcMar>
              <w:top w:type="dxa" w:w="90"/>
              <w:left w:type="dxa" w:w="120"/>
              <w:bottom w:type="dxa" w:w="90"/>
              <w:right w:type="dxa" w:w="120"/>
            </w:tcMar>
            <w:vAlign w:val="center"/>
          </w:tcPr>
          <w:p>
            <w:pPr>
              <w:jc w:val="left"/>
            </w:pPr>
            <w:r>
              <w:rPr>
                <w:b w:val="false"/>
                <w:bCs w:val="false"/>
                <w:color w:val="202020"/>
                <w:sz w:val="19"/>
                <w:szCs w:val="19"/>
              </w:rPr>
              <w:t xml:space="preserve">1 — Harden</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Weeks 1–4</w:t>
            </w:r>
          </w:p>
        </w:tc>
        <w:tc>
          <w:tcPr>
            <w:tcW w:type="dxa" w:w="4032"/>
            <w:tcMar>
              <w:top w:type="dxa" w:w="90"/>
              <w:left w:type="dxa" w:w="120"/>
              <w:bottom w:type="dxa" w:w="90"/>
              <w:right w:type="dxa" w:w="120"/>
            </w:tcMar>
            <w:vAlign w:val="center"/>
          </w:tcPr>
          <w:p>
            <w:pPr>
              <w:jc w:val="left"/>
            </w:pPr>
            <w:r>
              <w:rPr>
                <w:b w:val="false"/>
                <w:bCs w:val="false"/>
                <w:color w:val="202020"/>
                <w:sz w:val="19"/>
                <w:szCs w:val="19"/>
              </w:rPr>
              <w:t xml:space="preserve">Secrets, logging, error tracking, CI/CD gates, uptime alerting, backup testing</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Current stack becomes answerable to any third-party review</w:t>
            </w:r>
          </w:p>
        </w:tc>
      </w:tr>
      <w:tr>
        <w:tc>
          <w:tcPr>
            <w:tcW w:type="dxa" w:w="1411"/>
            <w:shd w:fill="EAF1F8" w:val="clear"/>
            <w:tcMar>
              <w:top w:type="dxa" w:w="90"/>
              <w:left w:type="dxa" w:w="120"/>
              <w:bottom w:type="dxa" w:w="90"/>
              <w:right w:type="dxa" w:w="120"/>
            </w:tcMar>
            <w:vAlign w:val="center"/>
          </w:tcPr>
          <w:p>
            <w:pPr>
              <w:jc w:val="left"/>
            </w:pPr>
            <w:r>
              <w:rPr>
                <w:b w:val="false"/>
                <w:bCs w:val="false"/>
                <w:color w:val="202020"/>
                <w:sz w:val="19"/>
                <w:szCs w:val="19"/>
              </w:rPr>
              <w:t xml:space="preserve">2 — Formalize</w:t>
            </w:r>
          </w:p>
        </w:tc>
        <w:tc>
          <w:tcPr>
            <w:tcW w:type="dxa" w:w="181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Months 2–3</w:t>
            </w:r>
          </w:p>
        </w:tc>
        <w:tc>
          <w:tcPr>
            <w:tcW w:type="dxa" w:w="403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Staging environment per app, IaC review process, autoscaling tuned to real traffic, consolidated ops runbook</w:t>
            </w:r>
          </w:p>
        </w:tc>
        <w:tc>
          <w:tcPr>
            <w:tcW w:type="dxa" w:w="2822"/>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Deploys become boring and reversible; on-call is possible</w:t>
            </w:r>
          </w:p>
        </w:tc>
      </w:tr>
      <w:tr>
        <w:tc>
          <w:tcPr>
            <w:tcW w:type="dxa" w:w="1411"/>
            <w:tcMar>
              <w:top w:type="dxa" w:w="90"/>
              <w:left w:type="dxa" w:w="120"/>
              <w:bottom w:type="dxa" w:w="90"/>
              <w:right w:type="dxa" w:w="120"/>
            </w:tcMar>
            <w:vAlign w:val="center"/>
          </w:tcPr>
          <w:p>
            <w:pPr>
              <w:jc w:val="left"/>
            </w:pPr>
            <w:r>
              <w:rPr>
                <w:b w:val="false"/>
                <w:bCs w:val="false"/>
                <w:color w:val="202020"/>
                <w:sz w:val="19"/>
                <w:szCs w:val="19"/>
              </w:rPr>
              <w:t xml:space="preserve">3 — Reassess</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Ongoing</w:t>
            </w:r>
          </w:p>
        </w:tc>
        <w:tc>
          <w:tcPr>
            <w:tcW w:type="dxa" w:w="4032"/>
            <w:tcMar>
              <w:top w:type="dxa" w:w="90"/>
              <w:left w:type="dxa" w:w="120"/>
              <w:bottom w:type="dxa" w:w="90"/>
              <w:right w:type="dxa" w:w="120"/>
            </w:tcMar>
            <w:vAlign w:val="center"/>
          </w:tcPr>
          <w:p>
            <w:pPr>
              <w:jc w:val="left"/>
            </w:pPr>
            <w:r>
              <w:rPr>
                <w:b w:val="false"/>
                <w:bCs w:val="false"/>
                <w:color w:val="202020"/>
                <w:sz w:val="19"/>
                <w:szCs w:val="19"/>
              </w:rPr>
              <w:t xml:space="preserve">Track load, compliance asks, and contract requirements against the trigger list in Section 3</w:t>
            </w:r>
          </w:p>
        </w:tc>
        <w:tc>
          <w:tcPr>
            <w:tcW w:type="dxa" w:w="2822"/>
            <w:tcMar>
              <w:top w:type="dxa" w:w="90"/>
              <w:left w:type="dxa" w:w="120"/>
              <w:bottom w:type="dxa" w:w="90"/>
              <w:right w:type="dxa" w:w="120"/>
            </w:tcMar>
            <w:vAlign w:val="center"/>
          </w:tcPr>
          <w:p>
            <w:pPr>
              <w:jc w:val="left"/>
            </w:pPr>
            <w:r>
              <w:rPr>
                <w:b w:val="false"/>
                <w:bCs w:val="false"/>
                <w:color w:val="202020"/>
                <w:sz w:val="19"/>
                <w:szCs w:val="19"/>
              </w:rPr>
              <w:t xml:space="preserve">Migration decision is made from evidence, not instinct</w:t>
            </w:r>
          </w:p>
        </w:tc>
      </w:tr>
    </w:tbl>
    <w:p>
      <w:pPr>
        <w:pStyle w:val="Heading1"/>
        <w:pBdr>
          <w:bottom w:val="single" w:color="1F3864" w:sz="6" w:space="4"/>
        </w:pBdr>
        <w:spacing w:after="160" w:before="400"/>
      </w:pPr>
      <w:r>
        <w:rPr>
          <w:b/>
          <w:bCs/>
          <w:color w:val="1F3864"/>
          <w:sz w:val="28"/>
          <w:szCs w:val="28"/>
        </w:rPr>
        <w:t xml:space="preserve">5. Phase 1 in Detail — What to Actually Do</w:t>
      </w:r>
    </w:p>
    <w:p>
      <w:pPr>
        <w:pStyle w:val="Heading2"/>
        <w:spacing w:after="120" w:before="280"/>
      </w:pPr>
      <w:r>
        <w:rPr>
          <w:b/>
          <w:bCs/>
          <w:color w:val="2E74B5"/>
          <w:sz w:val="24"/>
          <w:szCs w:val="24"/>
        </w:rPr>
        <w:t xml:space="preserve">5.1 Secrets management</w:t>
      </w:r>
    </w:p>
    <w:p>
      <w:pPr>
        <w:spacing w:after="160" w:line="276"/>
      </w:pPr>
      <w:r>
        <w:rPr>
          <w:color w:val="202020"/>
          <w:sz w:val="21"/>
          <w:szCs w:val="21"/>
        </w:rPr>
        <w:t xml:space="preserve">Stop treating the Render dashboard as the secrets store. Render's Environment Groups let you define a secret once and share it across services (useful since JWT_SECRET_KEY must already match across all three apps) — start there, or step up to a proper secrets manager (Doppler, 1Password Secrets Automation, or AWS Secrets Manager even while staying on Render) if you want rotation history and access logs. Either way, write down who owns each of the Cloudinary, Brevo, Mailjet, and database credentials, and put a rotation date on each one.</w:t>
      </w:r>
    </w:p>
    <w:p>
      <w:pPr>
        <w:pStyle w:val="Heading2"/>
        <w:spacing w:after="120" w:before="280"/>
      </w:pPr>
      <w:r>
        <w:rPr>
          <w:b/>
          <w:bCs/>
          <w:color w:val="2E74B5"/>
          <w:sz w:val="24"/>
          <w:szCs w:val="24"/>
        </w:rPr>
        <w:t xml:space="preserve">5.2 Centralized logging and error tracking</w:t>
      </w:r>
    </w:p>
    <w:p>
      <w:pPr>
        <w:spacing w:after="160" w:line="276"/>
      </w:pPr>
      <w:r>
        <w:rPr>
          <w:color w:val="202020"/>
          <w:sz w:val="21"/>
          <w:szCs w:val="21"/>
        </w:rPr>
        <w:t xml:space="preserve">This is the single highest-leverage fix, and it's already scoped in MONITORING_SETUP.md — it just needs to be turned on. Add sentry-sdk[flask] to each app, initialize it behind FLASK_ENV=='production', and set SENTRY_DSN per service. In parallel, stop relying on the in-container rotating log file as the durable record: pipe Render's log stream to a log platform (Better Stack is a reasonable fit here — free tier available, and it can ingest Sentry-format error payloads too, so you're not running two disconnected tools). This alone converts "we find out about bugs when a user complains" into "we get paged."</w:t>
      </w:r>
    </w:p>
    <w:p>
      <w:pPr>
        <w:pStyle w:val="Heading2"/>
        <w:spacing w:after="120" w:before="280"/>
      </w:pPr>
      <w:r>
        <w:rPr>
          <w:b/>
          <w:bCs/>
          <w:color w:val="2E74B5"/>
          <w:sz w:val="24"/>
          <w:szCs w:val="24"/>
        </w:rPr>
        <w:t xml:space="preserve">5.3 CI/CD as a real gate</w:t>
      </w:r>
    </w:p>
    <w:p>
      <w:pPr>
        <w:spacing w:after="160" w:line="276"/>
      </w:pPr>
      <w:r>
        <w:rPr>
          <w:color w:val="202020"/>
          <w:sz w:val="21"/>
          <w:szCs w:val="21"/>
        </w:rPr>
        <w:t xml:space="preserve">Bring the Fire app's CI up to parity with the other two (it currently has no GitHub Actions workflow at all). Add a dependency/vulnerability scan (pip-audit or GitHub's Dependabot alerts) to the existing lint+test job. Require the CI check to pass before merge via branch protection on main, and — for at least the Municipality and Fire apps, which handle operational data — add a manual approval step before production deploy rather than auto-deploying on every push to main. Render's preview environments (one per pull request) are already included on paid plans and are the cheapest way to get a real staging environment without standing up separate infrastructure.</w:t>
      </w:r>
    </w:p>
    <w:p>
      <w:pPr>
        <w:pStyle w:val="Heading2"/>
        <w:spacing w:after="120" w:before="280"/>
      </w:pPr>
      <w:r>
        <w:rPr>
          <w:b/>
          <w:bCs/>
          <w:color w:val="2E74B5"/>
          <w:sz w:val="24"/>
          <w:szCs w:val="24"/>
        </w:rPr>
        <w:t xml:space="preserve">5.4 Uptime monitoring and alerting</w:t>
      </w:r>
    </w:p>
    <w:p>
      <w:pPr>
        <w:spacing w:after="160" w:line="276"/>
      </w:pPr>
      <w:r>
        <w:rPr>
          <w:color w:val="202020"/>
          <w:sz w:val="21"/>
          <w:szCs w:val="21"/>
        </w:rPr>
        <w:t xml:space="preserve">Point an external monitor (UptimeRobot's free tier is enough to start) at the /health endpoint of all three services, checked every 1–5 minutes, alerting to email and a Slack/Teams channel if you have one. This is 15 minutes of setup and it's the difference between finding out about an outage from a user versus finding out before they notice.</w:t>
      </w:r>
    </w:p>
    <w:p>
      <w:pPr>
        <w:pStyle w:val="Heading2"/>
        <w:spacing w:after="120" w:before="280"/>
      </w:pPr>
      <w:r>
        <w:rPr>
          <w:b/>
          <w:bCs/>
          <w:color w:val="2E74B5"/>
          <w:sz w:val="24"/>
          <w:szCs w:val="24"/>
        </w:rPr>
        <w:t xml:space="preserve">5.5 Backups and disaster recovery — prove the restore, not just the backup</w:t>
      </w:r>
    </w:p>
    <w:p>
      <w:pPr>
        <w:spacing w:after="160" w:line="276"/>
      </w:pPr>
      <w:r>
        <w:rPr>
          <w:color w:val="202020"/>
          <w:sz w:val="21"/>
          <w:szCs w:val="21"/>
        </w:rPr>
        <w:t xml:space="preserve">Render's managed Postgres already takes automatic backups, and there's already a db_backup.py convention in use. The gap isn't the backup, it's that a restore has (presumably) never been tested end-to-end. Run one full restore-to-a-fresh-database exercise per app, time it, and write down the result — that number is your actual Recovery Time Objective, and it's the number a partner or customer will ask for.</w:t>
      </w:r>
    </w:p>
    <w:p>
      <w:pPr>
        <w:pStyle w:val="Heading2"/>
        <w:spacing w:after="120" w:before="280"/>
      </w:pPr>
      <w:r>
        <w:rPr>
          <w:b/>
          <w:bCs/>
          <w:color w:val="2E74B5"/>
          <w:sz w:val="24"/>
          <w:szCs w:val="24"/>
        </w:rPr>
        <w:t xml:space="preserve">5.6 Right-size the runtime</w:t>
      </w:r>
    </w:p>
    <w:p>
      <w:pPr>
        <w:spacing w:after="160" w:line="276"/>
      </w:pPr>
      <w:r>
        <w:rPr>
          <w:color w:val="202020"/>
          <w:sz w:val="21"/>
          <w:szCs w:val="21"/>
        </w:rPr>
        <w:t xml:space="preserve">Move the Fire and Municipality apps off a single Gunicorn worker — even two workers with the existing thread count meaningfully reduces the chance of one slow request blocking the whole service — and turn on Render's autoscaling (available from the Pro plan) rather than leaving worker counts as a fixed guess. This is a config change, not a re-architecture.</w:t>
      </w:r>
    </w:p>
    <w:p>
      <w:pPr>
        <w:pStyle w:val="Heading2"/>
        <w:spacing w:after="120" w:before="280"/>
      </w:pPr>
      <w:r>
        <w:rPr>
          <w:b/>
          <w:bCs/>
          <w:color w:val="2E74B5"/>
          <w:sz w:val="24"/>
          <w:szCs w:val="24"/>
        </w:rPr>
        <w:t xml:space="preserve">5.7 Consolidate the documentation</w:t>
      </w:r>
    </w:p>
    <w:p>
      <w:pPr>
        <w:spacing w:after="160" w:line="276"/>
      </w:pPr>
      <w:r>
        <w:rPr>
          <w:color w:val="202020"/>
          <w:sz w:val="21"/>
          <w:szCs w:val="21"/>
        </w:rPr>
        <w:t xml:space="preserve">Each repo currently carries 25+ standalone markdown files documenting past fixes, cleanups, and one-off investigations. None of that history needs to be deleted, but it should move to a docs/archive/ folder, and each repo should get one current, short OPERATIONS.md covering: what runs where, how to deploy, how to roll back, who owns which third-party account, and where the logs/errors/alerts actually live. That single file is what you hand to a new hire or a due-diligence request — not 25 files with dates in the names.</w:t>
      </w:r>
    </w:p>
    <w:p>
      <w:pPr>
        <w:pStyle w:val="Heading1"/>
        <w:pBdr>
          <w:bottom w:val="single" w:color="1F3864" w:sz="6" w:space="4"/>
        </w:pBdr>
        <w:spacing w:after="160" w:before="400"/>
      </w:pPr>
      <w:r>
        <w:rPr>
          <w:b/>
          <w:bCs/>
          <w:color w:val="1F3864"/>
          <w:sz w:val="28"/>
          <w:szCs w:val="28"/>
        </w:rPr>
        <w:t xml:space="preserve">6. Answering Third Parties: "How Do You Host This?"</w:t>
      </w:r>
    </w:p>
    <w:p>
      <w:pPr>
        <w:spacing w:after="160" w:line="276"/>
      </w:pPr>
      <w:r>
        <w:rPr>
          <w:color w:val="202020"/>
          <w:sz w:val="21"/>
          <w:szCs w:val="21"/>
        </w:rPr>
        <w:t xml:space="preserve">Once Phase 1 is done, the honest, organization-standard answer to a partner, customer security team, or auditor is straightforward and doesn't require being on AWS to sound credible: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218"/>
        <w:gridCol w:w="3024"/>
        <w:gridCol w:w="4838"/>
      </w:tblGrid>
      <w:tr>
        <w:trPr>
          <w:tblHeader/>
        </w:trPr>
        <w:tc>
          <w:tcPr>
            <w:tcW w:type="dxa" w:w="2218"/>
            <w:shd w:fill="1F3864" w:val="clear"/>
            <w:tcMar>
              <w:top w:type="dxa" w:w="90"/>
              <w:left w:type="dxa" w:w="120"/>
              <w:bottom w:type="dxa" w:w="90"/>
              <w:right w:type="dxa" w:w="120"/>
            </w:tcMar>
            <w:vAlign w:val="center"/>
          </w:tcPr>
          <w:p>
            <w:pPr>
              <w:jc w:val="left"/>
            </w:pPr>
            <w:r>
              <w:rPr>
                <w:b/>
                <w:bCs/>
                <w:color w:val="FFFFFF"/>
                <w:sz w:val="19"/>
                <w:szCs w:val="19"/>
              </w:rPr>
              <w:t xml:space="preserve">Layer</w:t>
            </w:r>
          </w:p>
        </w:tc>
        <w:tc>
          <w:tcPr>
            <w:tcW w:type="dxa" w:w="3024"/>
            <w:shd w:fill="1F3864" w:val="clear"/>
            <w:tcMar>
              <w:top w:type="dxa" w:w="90"/>
              <w:left w:type="dxa" w:w="120"/>
              <w:bottom w:type="dxa" w:w="90"/>
              <w:right w:type="dxa" w:w="120"/>
            </w:tcMar>
            <w:vAlign w:val="center"/>
          </w:tcPr>
          <w:p>
            <w:pPr>
              <w:jc w:val="left"/>
            </w:pPr>
            <w:r>
              <w:rPr>
                <w:b/>
                <w:bCs/>
                <w:color w:val="FFFFFF"/>
                <w:sz w:val="19"/>
                <w:szCs w:val="19"/>
              </w:rPr>
              <w:t xml:space="preserve">Provider</w:t>
            </w:r>
          </w:p>
        </w:tc>
        <w:tc>
          <w:tcPr>
            <w:tcW w:type="dxa" w:w="4838"/>
            <w:shd w:fill="1F3864" w:val="clear"/>
            <w:tcMar>
              <w:top w:type="dxa" w:w="90"/>
              <w:left w:type="dxa" w:w="120"/>
              <w:bottom w:type="dxa" w:w="90"/>
              <w:right w:type="dxa" w:w="120"/>
            </w:tcMar>
            <w:vAlign w:val="center"/>
          </w:tcPr>
          <w:p>
            <w:pPr>
              <w:jc w:val="left"/>
            </w:pPr>
            <w:r>
              <w:rPr>
                <w:b/>
                <w:bCs/>
                <w:color w:val="FFFFFF"/>
                <w:sz w:val="19"/>
                <w:szCs w:val="19"/>
              </w:rPr>
              <w:t xml:space="preserve">Role</w:t>
            </w:r>
          </w:p>
        </w:tc>
      </w:tr>
      <w:tr>
        <w:tc>
          <w:tcPr>
            <w:tcW w:type="dxa" w:w="2218"/>
            <w:tcMar>
              <w:top w:type="dxa" w:w="90"/>
              <w:left w:type="dxa" w:w="120"/>
              <w:bottom w:type="dxa" w:w="90"/>
              <w:right w:type="dxa" w:w="120"/>
            </w:tcMar>
            <w:vAlign w:val="center"/>
          </w:tcPr>
          <w:p>
            <w:pPr>
              <w:jc w:val="left"/>
            </w:pPr>
            <w:r>
              <w:rPr>
                <w:b w:val="false"/>
                <w:bCs w:val="false"/>
                <w:color w:val="202020"/>
                <w:sz w:val="19"/>
                <w:szCs w:val="19"/>
              </w:rPr>
              <w:t xml:space="preserve">Application hosting</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Render (managed container platform)</w:t>
            </w:r>
          </w:p>
        </w:tc>
        <w:tc>
          <w:tcPr>
            <w:tcW w:type="dxa" w:w="4838"/>
            <w:tcMar>
              <w:top w:type="dxa" w:w="90"/>
              <w:left w:type="dxa" w:w="120"/>
              <w:bottom w:type="dxa" w:w="90"/>
              <w:right w:type="dxa" w:w="120"/>
            </w:tcMar>
            <w:vAlign w:val="center"/>
          </w:tcPr>
          <w:p>
            <w:pPr>
              <w:jc w:val="left"/>
            </w:pPr>
            <w:r>
              <w:rPr>
                <w:b w:val="false"/>
                <w:bCs w:val="false"/>
                <w:color w:val="202020"/>
                <w:sz w:val="19"/>
                <w:szCs w:val="19"/>
              </w:rPr>
              <w:t xml:space="preserve">Runs each Flask service, TLS termination, autoscaling, zero-downtime deploys</w:t>
            </w:r>
          </w:p>
        </w:tc>
      </w:tr>
      <w:tr>
        <w:tc>
          <w:tcPr>
            <w:tcW w:type="dxa" w:w="221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Database</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Render managed PostgreSQL</w:t>
            </w:r>
          </w:p>
        </w:tc>
        <w:tc>
          <w:tcPr>
            <w:tcW w:type="dxa" w:w="483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Per-application relational data, automated backups, encryption at rest/in transit</w:t>
            </w:r>
          </w:p>
        </w:tc>
      </w:tr>
      <w:tr>
        <w:tc>
          <w:tcPr>
            <w:tcW w:type="dxa" w:w="2218"/>
            <w:tcMar>
              <w:top w:type="dxa" w:w="90"/>
              <w:left w:type="dxa" w:w="120"/>
              <w:bottom w:type="dxa" w:w="90"/>
              <w:right w:type="dxa" w:w="120"/>
            </w:tcMar>
            <w:vAlign w:val="center"/>
          </w:tcPr>
          <w:p>
            <w:pPr>
              <w:jc w:val="left"/>
            </w:pPr>
            <w:r>
              <w:rPr>
                <w:b w:val="false"/>
                <w:bCs w:val="false"/>
                <w:color w:val="202020"/>
                <w:sz w:val="19"/>
                <w:szCs w:val="19"/>
              </w:rPr>
              <w:t xml:space="preserve">Media storage &amp; CDN</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Cloudinary</w:t>
            </w:r>
          </w:p>
        </w:tc>
        <w:tc>
          <w:tcPr>
            <w:tcW w:type="dxa" w:w="4838"/>
            <w:tcMar>
              <w:top w:type="dxa" w:w="90"/>
              <w:left w:type="dxa" w:w="120"/>
              <w:bottom w:type="dxa" w:w="90"/>
              <w:right w:type="dxa" w:w="120"/>
            </w:tcMar>
            <w:vAlign w:val="center"/>
          </w:tcPr>
          <w:p>
            <w:pPr>
              <w:jc w:val="left"/>
            </w:pPr>
            <w:r>
              <w:rPr>
                <w:b w:val="false"/>
                <w:bCs w:val="false"/>
                <w:color w:val="202020"/>
                <w:sz w:val="19"/>
                <w:szCs w:val="19"/>
              </w:rPr>
              <w:t xml:space="preserve">Image/document upload, transformation, and delivery</w:t>
            </w:r>
          </w:p>
        </w:tc>
      </w:tr>
      <w:tr>
        <w:tc>
          <w:tcPr>
            <w:tcW w:type="dxa" w:w="221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Transactional email</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Brevo / Mailjet</w:t>
            </w:r>
          </w:p>
        </w:tc>
        <w:tc>
          <w:tcPr>
            <w:tcW w:type="dxa" w:w="483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Password resets, notifications, scheduled reports</w:t>
            </w:r>
          </w:p>
        </w:tc>
      </w:tr>
      <w:tr>
        <w:tc>
          <w:tcPr>
            <w:tcW w:type="dxa" w:w="2218"/>
            <w:tcMar>
              <w:top w:type="dxa" w:w="90"/>
              <w:left w:type="dxa" w:w="120"/>
              <w:bottom w:type="dxa" w:w="90"/>
              <w:right w:type="dxa" w:w="120"/>
            </w:tcMar>
            <w:vAlign w:val="center"/>
          </w:tcPr>
          <w:p>
            <w:pPr>
              <w:jc w:val="left"/>
            </w:pPr>
            <w:r>
              <w:rPr>
                <w:b w:val="false"/>
                <w:bCs w:val="false"/>
                <w:color w:val="202020"/>
                <w:sz w:val="19"/>
                <w:szCs w:val="19"/>
              </w:rPr>
              <w:t xml:space="preserve">Caching / rate limiting</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Redis (Upstash)</w:t>
            </w:r>
          </w:p>
        </w:tc>
        <w:tc>
          <w:tcPr>
            <w:tcW w:type="dxa" w:w="4838"/>
            <w:tcMar>
              <w:top w:type="dxa" w:w="90"/>
              <w:left w:type="dxa" w:w="120"/>
              <w:bottom w:type="dxa" w:w="90"/>
              <w:right w:type="dxa" w:w="120"/>
            </w:tcMar>
            <w:vAlign w:val="center"/>
          </w:tcPr>
          <w:p>
            <w:pPr>
              <w:jc w:val="left"/>
            </w:pPr>
            <w:r>
              <w:rPr>
                <w:b w:val="false"/>
                <w:bCs w:val="false"/>
                <w:color w:val="202020"/>
                <w:sz w:val="19"/>
                <w:szCs w:val="19"/>
              </w:rPr>
              <w:t xml:space="preserve">Rate limiting and short-lived state</w:t>
            </w:r>
          </w:p>
        </w:tc>
      </w:tr>
      <w:tr>
        <w:tc>
          <w:tcPr>
            <w:tcW w:type="dxa" w:w="221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Error tracking &amp; logs</w:t>
            </w:r>
          </w:p>
        </w:tc>
        <w:tc>
          <w:tcPr>
            <w:tcW w:type="dxa" w:w="302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Sentry + Better Stack (Phase 1)</w:t>
            </w:r>
          </w:p>
        </w:tc>
        <w:tc>
          <w:tcPr>
            <w:tcW w:type="dxa" w:w="4838"/>
            <w:shd w:fill="EAF1F8" w:val="clear"/>
            <w:tcMar>
              <w:top w:type="dxa" w:w="90"/>
              <w:left w:type="dxa" w:w="120"/>
              <w:bottom w:type="dxa" w:w="90"/>
              <w:right w:type="dxa" w:w="120"/>
            </w:tcMar>
            <w:vAlign w:val="center"/>
          </w:tcPr>
          <w:p>
            <w:pPr>
              <w:jc w:val="left"/>
            </w:pPr>
            <w:r>
              <w:rPr>
                <w:b w:val="false"/>
                <w:bCs w:val="false"/>
                <w:color w:val="202020"/>
                <w:sz w:val="19"/>
                <w:szCs w:val="19"/>
              </w:rPr>
              <w:t xml:space="preserve">Centralized exception capture and searchable logs</w:t>
            </w:r>
          </w:p>
        </w:tc>
      </w:tr>
      <w:tr>
        <w:tc>
          <w:tcPr>
            <w:tcW w:type="dxa" w:w="2218"/>
            <w:tcMar>
              <w:top w:type="dxa" w:w="90"/>
              <w:left w:type="dxa" w:w="120"/>
              <w:bottom w:type="dxa" w:w="90"/>
              <w:right w:type="dxa" w:w="120"/>
            </w:tcMar>
            <w:vAlign w:val="center"/>
          </w:tcPr>
          <w:p>
            <w:pPr>
              <w:jc w:val="left"/>
            </w:pPr>
            <w:r>
              <w:rPr>
                <w:b w:val="false"/>
                <w:bCs w:val="false"/>
                <w:color w:val="202020"/>
                <w:sz w:val="19"/>
                <w:szCs w:val="19"/>
              </w:rPr>
              <w:t xml:space="preserve">Uptime monitoring</w:t>
            </w:r>
          </w:p>
        </w:tc>
        <w:tc>
          <w:tcPr>
            <w:tcW w:type="dxa" w:w="3024"/>
            <w:tcMar>
              <w:top w:type="dxa" w:w="90"/>
              <w:left w:type="dxa" w:w="120"/>
              <w:bottom w:type="dxa" w:w="90"/>
              <w:right w:type="dxa" w:w="120"/>
            </w:tcMar>
            <w:vAlign w:val="center"/>
          </w:tcPr>
          <w:p>
            <w:pPr>
              <w:jc w:val="left"/>
            </w:pPr>
            <w:r>
              <w:rPr>
                <w:b w:val="false"/>
                <w:bCs w:val="false"/>
                <w:color w:val="202020"/>
                <w:sz w:val="19"/>
                <w:szCs w:val="19"/>
              </w:rPr>
              <w:t xml:space="preserve">UptimeRobot (Phase 1)</w:t>
            </w:r>
          </w:p>
        </w:tc>
        <w:tc>
          <w:tcPr>
            <w:tcW w:type="dxa" w:w="4838"/>
            <w:tcMar>
              <w:top w:type="dxa" w:w="90"/>
              <w:left w:type="dxa" w:w="120"/>
              <w:bottom w:type="dxa" w:w="90"/>
              <w:right w:type="dxa" w:w="120"/>
            </w:tcMar>
            <w:vAlign w:val="center"/>
          </w:tcPr>
          <w:p>
            <w:pPr>
              <w:jc w:val="left"/>
            </w:pPr>
            <w:r>
              <w:rPr>
                <w:b w:val="false"/>
                <w:bCs w:val="false"/>
                <w:color w:val="202020"/>
                <w:sz w:val="19"/>
                <w:szCs w:val="19"/>
              </w:rPr>
              <w:t xml:space="preserve">External health checks and alerting</w:t>
            </w:r>
          </w:p>
        </w:tc>
      </w:tr>
    </w:tbl>
    <w:p>
      <w:pPr>
        <w:spacing w:after="160" w:line="276"/>
      </w:pPr>
      <w:r>
        <w:rPr>
          <w:color w:val="202020"/>
          <w:sz w:val="21"/>
          <w:szCs w:val="21"/>
        </w:rPr>
        <w:t xml:space="preserve">That table, plus the restore-time number from 5.5 and the rotation schedule from 5.1, is what most partner security questionnaires are actually asking for. It's a materially stronger answer than "we're on Render" — and it's also a materially stronger answer than "we're on AWS" said by a team that hasn't set up logging, secrets rotation, or tested backups, which is a common trap: the cloud provider's name is not the credibility signal, the operational discipline around it is.</w:t>
      </w:r>
    </w:p>
    <w:p>
      <w:pPr>
        <w:pStyle w:val="Heading1"/>
        <w:pBdr>
          <w:bottom w:val="single" w:color="1F3864" w:sz="6" w:space="4"/>
        </w:pBdr>
        <w:spacing w:after="160" w:before="400"/>
      </w:pPr>
      <w:r>
        <w:rPr>
          <w:b/>
          <w:bCs/>
          <w:color w:val="1F3864"/>
          <w:sz w:val="28"/>
          <w:szCs w:val="28"/>
        </w:rPr>
        <w:t xml:space="preserve">7. Immediate Next Steps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4637"/>
        <w:gridCol w:w="1814"/>
        <w:gridCol w:w="3629"/>
      </w:tblGrid>
      <w:tr>
        <w:trPr>
          <w:tblHeader/>
        </w:trPr>
        <w:tc>
          <w:tcPr>
            <w:tcW w:type="dxa" w:w="4637"/>
            <w:shd w:fill="1F3864" w:val="clear"/>
            <w:tcMar>
              <w:top w:type="dxa" w:w="90"/>
              <w:left w:type="dxa" w:w="120"/>
              <w:bottom w:type="dxa" w:w="90"/>
              <w:right w:type="dxa" w:w="120"/>
            </w:tcMar>
            <w:vAlign w:val="center"/>
          </w:tcPr>
          <w:p>
            <w:pPr>
              <w:jc w:val="left"/>
            </w:pPr>
            <w:r>
              <w:rPr>
                <w:b/>
                <w:bCs/>
                <w:color w:val="FFFFFF"/>
                <w:sz w:val="19"/>
                <w:szCs w:val="19"/>
              </w:rPr>
              <w:t xml:space="preserve">Action</w:t>
            </w:r>
          </w:p>
        </w:tc>
        <w:tc>
          <w:tcPr>
            <w:tcW w:type="dxa" w:w="1814"/>
            <w:shd w:fill="1F3864" w:val="clear"/>
            <w:tcMar>
              <w:top w:type="dxa" w:w="90"/>
              <w:left w:type="dxa" w:w="120"/>
              <w:bottom w:type="dxa" w:w="90"/>
              <w:right w:type="dxa" w:w="120"/>
            </w:tcMar>
            <w:vAlign w:val="center"/>
          </w:tcPr>
          <w:p>
            <w:pPr>
              <w:jc w:val="left"/>
            </w:pPr>
            <w:r>
              <w:rPr>
                <w:b/>
                <w:bCs/>
                <w:color w:val="FFFFFF"/>
                <w:sz w:val="19"/>
                <w:szCs w:val="19"/>
              </w:rPr>
              <w:t xml:space="preserve">Owner</w:t>
            </w:r>
          </w:p>
        </w:tc>
        <w:tc>
          <w:tcPr>
            <w:tcW w:type="dxa" w:w="3629"/>
            <w:shd w:fill="1F3864" w:val="clear"/>
            <w:tcMar>
              <w:top w:type="dxa" w:w="90"/>
              <w:left w:type="dxa" w:w="120"/>
              <w:bottom w:type="dxa" w:w="90"/>
              <w:right w:type="dxa" w:w="120"/>
            </w:tcMar>
            <w:vAlign w:val="center"/>
          </w:tcPr>
          <w:p>
            <w:pPr>
              <w:jc w:val="left"/>
            </w:pPr>
            <w:r>
              <w:rPr>
                <w:b/>
                <w:bCs/>
                <w:color w:val="FFFFFF"/>
                <w:sz w:val="19"/>
                <w:szCs w:val="19"/>
              </w:rPr>
              <w:t xml:space="preserve">Effort</w:t>
            </w:r>
          </w:p>
        </w:tc>
      </w:tr>
      <w:tr>
        <w:tc>
          <w:tcPr>
            <w:tcW w:type="dxa" w:w="4637"/>
            <w:tcMar>
              <w:top w:type="dxa" w:w="90"/>
              <w:left w:type="dxa" w:w="120"/>
              <w:bottom w:type="dxa" w:w="90"/>
              <w:right w:type="dxa" w:w="120"/>
            </w:tcMar>
            <w:vAlign w:val="center"/>
          </w:tcPr>
          <w:p>
            <w:pPr>
              <w:jc w:val="left"/>
            </w:pPr>
            <w:r>
              <w:rPr>
                <w:b w:val="false"/>
                <w:bCs w:val="false"/>
                <w:color w:val="202020"/>
                <w:sz w:val="19"/>
                <w:szCs w:val="19"/>
              </w:rPr>
              <w:t xml:space="preserve">Turn on Sentry per MONITORING_SETUP.md across all three apps</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tcMar>
              <w:top w:type="dxa" w:w="90"/>
              <w:left w:type="dxa" w:w="120"/>
              <w:bottom w:type="dxa" w:w="90"/>
              <w:right w:type="dxa" w:w="120"/>
            </w:tcMar>
            <w:vAlign w:val="center"/>
          </w:tcPr>
          <w:p>
            <w:pPr>
              <w:jc w:val="left"/>
            </w:pPr>
            <w:r>
              <w:rPr>
                <w:b w:val="false"/>
                <w:bCs w:val="false"/>
                <w:color w:val="202020"/>
                <w:sz w:val="19"/>
                <w:szCs w:val="19"/>
              </w:rPr>
              <w:t xml:space="preserve">~1 day</w:t>
            </w:r>
          </w:p>
        </w:tc>
      </w:tr>
      <w:tr>
        <w:tc>
          <w:tcPr>
            <w:tcW w:type="dxa" w:w="4637"/>
            <w:shd w:fill="EAF1F8" w:val="clear"/>
            <w:tcMar>
              <w:top w:type="dxa" w:w="90"/>
              <w:left w:type="dxa" w:w="120"/>
              <w:bottom w:type="dxa" w:w="90"/>
              <w:right w:type="dxa" w:w="120"/>
            </w:tcMar>
            <w:vAlign w:val="center"/>
          </w:tcPr>
          <w:p>
            <w:pPr>
              <w:jc w:val="left"/>
            </w:pPr>
            <w:r>
              <w:rPr>
                <w:b w:val="false"/>
                <w:bCs w:val="false"/>
                <w:color w:val="202020"/>
                <w:sz w:val="19"/>
                <w:szCs w:val="19"/>
              </w:rPr>
              <w:t xml:space="preserve">Add GitHub Actions CI to the Fire repo (mirror Municipality's)</w:t>
            </w:r>
          </w:p>
        </w:tc>
        <w:tc>
          <w:tcPr>
            <w:tcW w:type="dxa" w:w="181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shd w:fill="EAF1F8" w:val="clear"/>
            <w:tcMar>
              <w:top w:type="dxa" w:w="90"/>
              <w:left w:type="dxa" w:w="120"/>
              <w:bottom w:type="dxa" w:w="90"/>
              <w:right w:type="dxa" w:w="120"/>
            </w:tcMar>
            <w:vAlign w:val="center"/>
          </w:tcPr>
          <w:p>
            <w:pPr>
              <w:jc w:val="left"/>
            </w:pPr>
            <w:r>
              <w:rPr>
                <w:b w:val="false"/>
                <w:bCs w:val="false"/>
                <w:color w:val="202020"/>
                <w:sz w:val="19"/>
                <w:szCs w:val="19"/>
              </w:rPr>
              <w:t xml:space="preserve">~1 hour</w:t>
            </w:r>
          </w:p>
        </w:tc>
      </w:tr>
      <w:tr>
        <w:tc>
          <w:tcPr>
            <w:tcW w:type="dxa" w:w="4637"/>
            <w:tcMar>
              <w:top w:type="dxa" w:w="90"/>
              <w:left w:type="dxa" w:w="120"/>
              <w:bottom w:type="dxa" w:w="90"/>
              <w:right w:type="dxa" w:w="120"/>
            </w:tcMar>
            <w:vAlign w:val="center"/>
          </w:tcPr>
          <w:p>
            <w:pPr>
              <w:jc w:val="left"/>
            </w:pPr>
            <w:r>
              <w:rPr>
                <w:b w:val="false"/>
                <w:bCs w:val="false"/>
                <w:color w:val="202020"/>
                <w:sz w:val="19"/>
                <w:szCs w:val="19"/>
              </w:rPr>
              <w:t xml:space="preserve">Stand up UptimeRobot on all three /health endpoints</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Any</w:t>
            </w:r>
          </w:p>
        </w:tc>
        <w:tc>
          <w:tcPr>
            <w:tcW w:type="dxa" w:w="3629"/>
            <w:tcMar>
              <w:top w:type="dxa" w:w="90"/>
              <w:left w:type="dxa" w:w="120"/>
              <w:bottom w:type="dxa" w:w="90"/>
              <w:right w:type="dxa" w:w="120"/>
            </w:tcMar>
            <w:vAlign w:val="center"/>
          </w:tcPr>
          <w:p>
            <w:pPr>
              <w:jc w:val="left"/>
            </w:pPr>
            <w:r>
              <w:rPr>
                <w:b w:val="false"/>
                <w:bCs w:val="false"/>
                <w:color w:val="202020"/>
                <w:sz w:val="19"/>
                <w:szCs w:val="19"/>
              </w:rPr>
              <w:t xml:space="preserve">~15 min</w:t>
            </w:r>
          </w:p>
        </w:tc>
      </w:tr>
      <w:tr>
        <w:tc>
          <w:tcPr>
            <w:tcW w:type="dxa" w:w="4637"/>
            <w:shd w:fill="EAF1F8" w:val="clear"/>
            <w:tcMar>
              <w:top w:type="dxa" w:w="90"/>
              <w:left w:type="dxa" w:w="120"/>
              <w:bottom w:type="dxa" w:w="90"/>
              <w:right w:type="dxa" w:w="120"/>
            </w:tcMar>
            <w:vAlign w:val="center"/>
          </w:tcPr>
          <w:p>
            <w:pPr>
              <w:jc w:val="left"/>
            </w:pPr>
            <w:r>
              <w:rPr>
                <w:b w:val="false"/>
                <w:bCs w:val="false"/>
                <w:color w:val="202020"/>
                <w:sz w:val="19"/>
                <w:szCs w:val="19"/>
              </w:rPr>
              <w:t xml:space="preserve">Move secrets into Render Environment Groups; document ownership</w:t>
            </w:r>
          </w:p>
        </w:tc>
        <w:tc>
          <w:tcPr>
            <w:tcW w:type="dxa" w:w="181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shd w:fill="EAF1F8" w:val="clear"/>
            <w:tcMar>
              <w:top w:type="dxa" w:w="90"/>
              <w:left w:type="dxa" w:w="120"/>
              <w:bottom w:type="dxa" w:w="90"/>
              <w:right w:type="dxa" w:w="120"/>
            </w:tcMar>
            <w:vAlign w:val="center"/>
          </w:tcPr>
          <w:p>
            <w:pPr>
              <w:jc w:val="left"/>
            </w:pPr>
            <w:r>
              <w:rPr>
                <w:b w:val="false"/>
                <w:bCs w:val="false"/>
                <w:color w:val="202020"/>
                <w:sz w:val="19"/>
                <w:szCs w:val="19"/>
              </w:rPr>
              <w:t xml:space="preserve">~half day</w:t>
            </w:r>
          </w:p>
        </w:tc>
      </w:tr>
      <w:tr>
        <w:tc>
          <w:tcPr>
            <w:tcW w:type="dxa" w:w="4637"/>
            <w:tcMar>
              <w:top w:type="dxa" w:w="90"/>
              <w:left w:type="dxa" w:w="120"/>
              <w:bottom w:type="dxa" w:w="90"/>
              <w:right w:type="dxa" w:w="120"/>
            </w:tcMar>
            <w:vAlign w:val="center"/>
          </w:tcPr>
          <w:p>
            <w:pPr>
              <w:jc w:val="left"/>
            </w:pPr>
            <w:r>
              <w:rPr>
                <w:b w:val="false"/>
                <w:bCs w:val="false"/>
                <w:color w:val="202020"/>
                <w:sz w:val="19"/>
                <w:szCs w:val="19"/>
              </w:rPr>
              <w:t xml:space="preserve">Run and time one full database restore per app</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tcMar>
              <w:top w:type="dxa" w:w="90"/>
              <w:left w:type="dxa" w:w="120"/>
              <w:bottom w:type="dxa" w:w="90"/>
              <w:right w:type="dxa" w:w="120"/>
            </w:tcMar>
            <w:vAlign w:val="center"/>
          </w:tcPr>
          <w:p>
            <w:pPr>
              <w:jc w:val="left"/>
            </w:pPr>
            <w:r>
              <w:rPr>
                <w:b w:val="false"/>
                <w:bCs w:val="false"/>
                <w:color w:val="202020"/>
                <w:sz w:val="19"/>
                <w:szCs w:val="19"/>
              </w:rPr>
              <w:t xml:space="preserve">~half day</w:t>
            </w:r>
          </w:p>
        </w:tc>
      </w:tr>
      <w:tr>
        <w:tc>
          <w:tcPr>
            <w:tcW w:type="dxa" w:w="4637"/>
            <w:shd w:fill="EAF1F8" w:val="clear"/>
            <w:tcMar>
              <w:top w:type="dxa" w:w="90"/>
              <w:left w:type="dxa" w:w="120"/>
              <w:bottom w:type="dxa" w:w="90"/>
              <w:right w:type="dxa" w:w="120"/>
            </w:tcMar>
            <w:vAlign w:val="center"/>
          </w:tcPr>
          <w:p>
            <w:pPr>
              <w:jc w:val="left"/>
            </w:pPr>
            <w:r>
              <w:rPr>
                <w:b w:val="false"/>
                <w:bCs w:val="false"/>
                <w:color w:val="202020"/>
                <w:sz w:val="19"/>
                <w:szCs w:val="19"/>
              </w:rPr>
              <w:t xml:space="preserve">Write one OPERATIONS.md per repo; archive the older status/fix docs</w:t>
            </w:r>
          </w:p>
        </w:tc>
        <w:tc>
          <w:tcPr>
            <w:tcW w:type="dxa" w:w="1814"/>
            <w:shd w:fill="EAF1F8" w:val="clear"/>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shd w:fill="EAF1F8" w:val="clear"/>
            <w:tcMar>
              <w:top w:type="dxa" w:w="90"/>
              <w:left w:type="dxa" w:w="120"/>
              <w:bottom w:type="dxa" w:w="90"/>
              <w:right w:type="dxa" w:w="120"/>
            </w:tcMar>
            <w:vAlign w:val="center"/>
          </w:tcPr>
          <w:p>
            <w:pPr>
              <w:jc w:val="left"/>
            </w:pPr>
            <w:r>
              <w:rPr>
                <w:b w:val="false"/>
                <w:bCs w:val="false"/>
                <w:color w:val="202020"/>
                <w:sz w:val="19"/>
                <w:szCs w:val="19"/>
              </w:rPr>
              <w:t xml:space="preserve">~1 day</w:t>
            </w:r>
          </w:p>
        </w:tc>
      </w:tr>
      <w:tr>
        <w:tc>
          <w:tcPr>
            <w:tcW w:type="dxa" w:w="4637"/>
            <w:tcMar>
              <w:top w:type="dxa" w:w="90"/>
              <w:left w:type="dxa" w:w="120"/>
              <w:bottom w:type="dxa" w:w="90"/>
              <w:right w:type="dxa" w:w="120"/>
            </w:tcMar>
            <w:vAlign w:val="center"/>
          </w:tcPr>
          <w:p>
            <w:pPr>
              <w:jc w:val="left"/>
            </w:pPr>
            <w:r>
              <w:rPr>
                <w:b w:val="false"/>
                <w:bCs w:val="false"/>
                <w:color w:val="202020"/>
                <w:sz w:val="19"/>
                <w:szCs w:val="19"/>
              </w:rPr>
              <w:t xml:space="preserve">Turn on Render autoscaling / bump worker counts on Fire &amp; Municipality</w:t>
            </w:r>
          </w:p>
        </w:tc>
        <w:tc>
          <w:tcPr>
            <w:tcW w:type="dxa" w:w="1814"/>
            <w:tcMar>
              <w:top w:type="dxa" w:w="90"/>
              <w:left w:type="dxa" w:w="120"/>
              <w:bottom w:type="dxa" w:w="90"/>
              <w:right w:type="dxa" w:w="120"/>
            </w:tcMar>
            <w:vAlign w:val="center"/>
          </w:tcPr>
          <w:p>
            <w:pPr>
              <w:jc w:val="left"/>
            </w:pPr>
            <w:r>
              <w:rPr>
                <w:b w:val="false"/>
                <w:bCs w:val="false"/>
                <w:color w:val="202020"/>
                <w:sz w:val="19"/>
                <w:szCs w:val="19"/>
              </w:rPr>
              <w:t xml:space="preserve">Dev</w:t>
            </w:r>
          </w:p>
        </w:tc>
        <w:tc>
          <w:tcPr>
            <w:tcW w:type="dxa" w:w="3629"/>
            <w:tcMar>
              <w:top w:type="dxa" w:w="90"/>
              <w:left w:type="dxa" w:w="120"/>
              <w:bottom w:type="dxa" w:w="90"/>
              <w:right w:type="dxa" w:w="120"/>
            </w:tcMar>
            <w:vAlign w:val="center"/>
          </w:tcPr>
          <w:p>
            <w:pPr>
              <w:jc w:val="left"/>
            </w:pPr>
            <w:r>
              <w:rPr>
                <w:b w:val="false"/>
                <w:bCs w:val="false"/>
                <w:color w:val="202020"/>
                <w:sz w:val="19"/>
                <w:szCs w:val="19"/>
              </w:rPr>
              <w:t xml:space="preserve">~1 hour</w:t>
            </w:r>
          </w:p>
        </w:tc>
      </w:tr>
    </w:tbl>
    <w:p>
      <w:pPr>
        <w:spacing w:after="160" w:line="276"/>
      </w:pPr>
      <w:r>
        <w:rPr>
          <w:color w:val="202020"/>
          <w:sz w:val="21"/>
          <w:szCs w:val="21"/>
        </w:rPr>
        <w:t xml:space="preserve">None of this requires touching AWS, Google Cloud, or Azure. It's the set of changes that makes the current, sensible Render architecture look and behave like something run by an organized team — and it's also exactly what would need to exist before a hyperscaler migration made sense anyway, so nothing here is wasted work if that migration does happen later.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Kynvera / Injaaz Platform — Deployment &amp; Infrastructure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2026-08-07T14:15:07.831Z</dcterms:created>
  <dcterms:modified xsi:type="dcterms:W3CDTF">2026-08-07T14:15:07.833Z</dcterms:modified>
</cp:coreProperties>
</file>

<file path=docProps/custom.xml><?xml version="1.0" encoding="utf-8"?>
<Properties xmlns="http://schemas.openxmlformats.org/officeDocument/2006/custom-properties" xmlns:vt="http://schemas.openxmlformats.org/officeDocument/2006/docPropsVTypes"/>
</file>