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6000"/>
        <w:gridCol w:w="3612"/>
      </w:tblGrid>
      <w:tr>
        <w:tc>
          <w:tcPr>
            <w:tcW w:type="pct" w:w="62%"/>
            <w:vAlign w:val="center"/>
          </w:tcPr>
          <w:p>
            <w:pPr>
              <w:spacing w:after="20"/>
            </w:pPr>
            <w:r>
              <w:rPr>
                <w:rFonts w:ascii="Calibri" w:cs="Calibri" w:eastAsia="Calibri" w:hAnsi="Calibri"/>
                <w:b/>
                <w:bCs/>
                <w:color w:val="000000"/>
                <w:sz w:val="30"/>
                <w:szCs w:val="30"/>
              </w:rPr>
              <w:t xml:space="preserve">SERVICE AGREEMENT</w:t>
            </w:r>
          </w:p>
          <w:p>
            <w:r>
              <w:rPr>
                <w:rFonts w:ascii="Calibri" w:cs="Calibri" w:eastAsia="Calibri" w:hAnsi="Calibri"/>
                <w:i/>
                <w:iCs/>
                <w:color w:val="595959"/>
                <w:sz w:val="18"/>
                <w:szCs w:val="18"/>
              </w:rPr>
              <w:t xml:space="preserve">Terms &amp; Conditions — Application Development, Hosting &amp; Support</w:t>
            </w:r>
          </w:p>
        </w:tc>
        <w:tc>
          <w:tcPr>
            <w:tcW w:type="pct" w:w="38%"/>
            <w:vAlign w:val="center"/>
          </w:tcPr>
          <w:p>
            <w:r>
              <w:rPr>
                <w:sz w:val="2"/>
                <w:szCs w:val="2"/>
              </w:rPr>
              <w:t xml:space="preserve"/>
            </w:r>
          </w:p>
        </w:tc>
      </w:tr>
    </w:tbl>
    <w:p>
      <w:pPr>
        <w:pBdr>
          <w:bottom w:val="single" w:color="000000" w:sz="10" w:space="4"/>
        </w:pBdr>
        <w:spacing w:after="200" w:before="100"/>
      </w:pPr>
      <w:r>
        <w:rPr>
          <w:sz w:val="2"/>
          <w:szCs w:val="2"/>
        </w:rPr>
        <w:t xml:space="preserve"/>
      </w:r>
    </w:p>
    <w:p>
      <w:pPr>
        <w:spacing w:after="130" w:line="252"/>
        <w:jc w:val="both"/>
      </w:pPr>
      <w:r>
        <w:rPr>
          <w:rFonts w:ascii="Calibri" w:cs="Calibri" w:eastAsia="Calibri" w:hAnsi="Calibri"/>
          <w:color w:val="000000"/>
          <w:sz w:val="21"/>
          <w:szCs w:val="21"/>
        </w:rPr>
        <w:t xml:space="preserve">This Service Agreement ("Agreement") is made between Kynvera (the "Company") and the Client identified below (together, the "Parties"). It sets out the terms on which the Company will develop, deploy, host, and support the Application for the Client.</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pct" w:w="34%"/>
            <w:tcMar>
              <w:top w:type="dxa" w:w="70"/>
              <w:left w:type="dxa" w:w="120"/>
              <w:bottom w:type="dxa" w:w="70"/>
              <w:right w:type="dxa" w:w="120"/>
            </w:tcMar>
            <w:vAlign w:val="center"/>
          </w:tcPr>
          <w:p>
            <w:r>
              <w:rPr>
                <w:rFonts w:ascii="Calibri" w:cs="Calibri" w:eastAsia="Calibri" w:hAnsi="Calibri"/>
                <w:b/>
                <w:bCs/>
                <w:color w:val="000000"/>
                <w:sz w:val="21"/>
                <w:szCs w:val="21"/>
              </w:rPr>
              <w:t xml:space="preserve">Service Provider</w:t>
            </w:r>
          </w:p>
        </w:tc>
        <w:tc>
          <w:tcPr>
            <w:tcW w:type="pct" w:w="66%"/>
            <w:tcMar>
              <w:top w:type="dxa" w:w="70"/>
              <w:left w:type="dxa" w:w="120"/>
              <w:bottom w:type="dxa" w:w="70"/>
              <w:right w:type="dxa" w:w="120"/>
            </w:tcMar>
            <w:vAlign w:val="center"/>
          </w:tcPr>
          <w:p>
            <w:r>
              <w:rPr>
                <w:rFonts w:ascii="Calibri" w:cs="Calibri" w:eastAsia="Calibri" w:hAnsi="Calibri"/>
                <w:color w:val="000000"/>
                <w:sz w:val="21"/>
                <w:szCs w:val="21"/>
              </w:rPr>
              <w:t xml:space="preserve">Kynvera</w:t>
            </w:r>
          </w:p>
        </w:tc>
      </w:tr>
      <w:tr>
        <w:tc>
          <w:tcPr>
            <w:tcW w:type="pct" w:w="34%"/>
            <w:tcMar>
              <w:top w:type="dxa" w:w="70"/>
              <w:left w:type="dxa" w:w="120"/>
              <w:bottom w:type="dxa" w:w="70"/>
              <w:right w:type="dxa" w:w="120"/>
            </w:tcMar>
            <w:vAlign w:val="center"/>
          </w:tcPr>
          <w:p>
            <w:r>
              <w:rPr>
                <w:rFonts w:ascii="Calibri" w:cs="Calibri" w:eastAsia="Calibri" w:hAnsi="Calibri"/>
                <w:b/>
                <w:bCs/>
                <w:color w:val="000000"/>
                <w:sz w:val="21"/>
                <w:szCs w:val="21"/>
              </w:rPr>
              <w:t xml:space="preserve">Client</w:t>
            </w:r>
          </w:p>
        </w:tc>
        <w:tc>
          <w:tcPr>
            <w:tcW w:type="pct" w:w="66%"/>
            <w:tcMar>
              <w:top w:type="dxa" w:w="70"/>
              <w:left w:type="dxa" w:w="120"/>
              <w:bottom w:type="dxa" w:w="70"/>
              <w:right w:type="dxa" w:w="120"/>
            </w:tcMar>
            <w:vAlign w:val="center"/>
          </w:tcPr>
          <w:p>
            <w:r>
              <w:rPr>
                <w:rFonts w:ascii="Calibri" w:cs="Calibri" w:eastAsia="Calibri" w:hAnsi="Calibri"/>
                <w:color w:val="000000"/>
                <w:sz w:val="21"/>
                <w:szCs w:val="21"/>
              </w:rPr>
              <w:t xml:space="preserve">[Client Name]</w:t>
            </w:r>
          </w:p>
        </w:tc>
      </w:tr>
      <w:tr>
        <w:tc>
          <w:tcPr>
            <w:tcW w:type="pct" w:w="34%"/>
            <w:tcMar>
              <w:top w:type="dxa" w:w="70"/>
              <w:left w:type="dxa" w:w="120"/>
              <w:bottom w:type="dxa" w:w="70"/>
              <w:right w:type="dxa" w:w="120"/>
            </w:tcMar>
            <w:vAlign w:val="center"/>
          </w:tcPr>
          <w:p>
            <w:r>
              <w:rPr>
                <w:rFonts w:ascii="Calibri" w:cs="Calibri" w:eastAsia="Calibri" w:hAnsi="Calibri"/>
                <w:b/>
                <w:bCs/>
                <w:color w:val="000000"/>
                <w:sz w:val="21"/>
                <w:szCs w:val="21"/>
              </w:rPr>
              <w:t xml:space="preserve">Effective Date</w:t>
            </w:r>
          </w:p>
        </w:tc>
        <w:tc>
          <w:tcPr>
            <w:tcW w:type="pct" w:w="66%"/>
            <w:tcMar>
              <w:top w:type="dxa" w:w="70"/>
              <w:left w:type="dxa" w:w="120"/>
              <w:bottom w:type="dxa" w:w="70"/>
              <w:right w:type="dxa" w:w="120"/>
            </w:tcMar>
            <w:vAlign w:val="center"/>
          </w:tcPr>
          <w:p>
            <w:r>
              <w:rPr>
                <w:rFonts w:ascii="Calibri" w:cs="Calibri" w:eastAsia="Calibri" w:hAnsi="Calibri"/>
                <w:color w:val="000000"/>
                <w:sz w:val="21"/>
                <w:szCs w:val="21"/>
              </w:rPr>
              <w:t xml:space="preserve">[Effective Date]</w:t>
            </w:r>
          </w:p>
        </w:tc>
      </w:tr>
      <w:tr>
        <w:tc>
          <w:tcPr>
            <w:tcW w:type="pct" w:w="34%"/>
            <w:tcMar>
              <w:top w:type="dxa" w:w="70"/>
              <w:left w:type="dxa" w:w="120"/>
              <w:bottom w:type="dxa" w:w="70"/>
              <w:right w:type="dxa" w:w="120"/>
            </w:tcMar>
            <w:vAlign w:val="center"/>
          </w:tcPr>
          <w:p>
            <w:r>
              <w:rPr>
                <w:rFonts w:ascii="Calibri" w:cs="Calibri" w:eastAsia="Calibri" w:hAnsi="Calibri"/>
                <w:b/>
                <w:bCs/>
                <w:color w:val="000000"/>
                <w:sz w:val="21"/>
                <w:szCs w:val="21"/>
              </w:rPr>
              <w:t xml:space="preserve">Application / System</w:t>
            </w:r>
          </w:p>
        </w:tc>
        <w:tc>
          <w:tcPr>
            <w:tcW w:type="pct" w:w="66%"/>
            <w:tcMar>
              <w:top w:type="dxa" w:w="70"/>
              <w:left w:type="dxa" w:w="120"/>
              <w:bottom w:type="dxa" w:w="70"/>
              <w:right w:type="dxa" w:w="120"/>
            </w:tcMar>
            <w:vAlign w:val="center"/>
          </w:tcPr>
          <w:p>
            <w:r>
              <w:rPr>
                <w:rFonts w:ascii="Calibri" w:cs="Calibri" w:eastAsia="Calibri" w:hAnsi="Calibri"/>
                <w:color w:val="000000"/>
                <w:sz w:val="21"/>
                <w:szCs w:val="21"/>
              </w:rPr>
              <w:t xml:space="preserve">[System / Application Name]</w:t>
            </w:r>
          </w:p>
        </w:tc>
      </w:tr>
    </w:tbl>
    <w:p>
      <w:pPr>
        <w:pBdr>
          <w:bottom w:val="single" w:color="000000" w:sz="6" w:space="3"/>
        </w:pBdr>
        <w:spacing w:after="100" w:before="240"/>
      </w:pPr>
      <w:r>
        <w:rPr>
          <w:rFonts w:ascii="Calibri" w:cs="Calibri" w:eastAsia="Calibri" w:hAnsi="Calibri"/>
          <w:b/>
          <w:bCs/>
          <w:caps/>
          <w:color w:val="000000"/>
          <w:sz w:val="22"/>
          <w:szCs w:val="22"/>
        </w:rPr>
        <w:t xml:space="preserve">1. Scope of Services</w:t>
      </w:r>
    </w:p>
    <w:p>
      <w:pPr>
        <w:spacing w:after="130" w:line="252"/>
        <w:jc w:val="both"/>
      </w:pPr>
      <w:r>
        <w:rPr>
          <w:rFonts w:ascii="Calibri" w:cs="Calibri" w:eastAsia="Calibri" w:hAnsi="Calibri"/>
          <w:color w:val="000000"/>
          <w:sz w:val="21"/>
          <w:szCs w:val="21"/>
        </w:rPr>
        <w:t xml:space="preserve">The Company shall design, develop, and deliver the Application for the Client in accordance with the scope and features agreed between the Parties. The Company shall also host and maintain the Application, and provide ongoing updates and support for the duration of this Agreement.</w:t>
      </w:r>
    </w:p>
    <w:p>
      <w:pPr>
        <w:pBdr>
          <w:bottom w:val="single" w:color="000000" w:sz="6" w:space="3"/>
        </w:pBdr>
        <w:spacing w:after="100" w:before="240"/>
      </w:pPr>
      <w:r>
        <w:rPr>
          <w:rFonts w:ascii="Calibri" w:cs="Calibri" w:eastAsia="Calibri" w:hAnsi="Calibri"/>
          <w:b/>
          <w:bCs/>
          <w:caps/>
          <w:color w:val="000000"/>
          <w:sz w:val="22"/>
          <w:szCs w:val="22"/>
        </w:rPr>
        <w:t xml:space="preserve">2. Deployment</w:t>
      </w:r>
    </w:p>
    <w:p>
      <w:pPr>
        <w:spacing w:after="130" w:line="252"/>
        <w:jc w:val="both"/>
      </w:pPr>
      <w:r>
        <w:rPr>
          <w:rFonts w:ascii="Calibri" w:cs="Calibri" w:eastAsia="Calibri" w:hAnsi="Calibri"/>
          <w:color w:val="000000"/>
          <w:sz w:val="21"/>
          <w:szCs w:val="21"/>
        </w:rPr>
        <w:t xml:space="preserve">The Application is hosted and deployed by the Company on its own infrastructure. All hosting-related costs and charges are borne solely by the Company and are not billed separately to the Client. The Application is deployed to production ("Go-Live") once development is complete and accepted by the Client, after which the Company continues to deploy updates, fixes, and improvements as part of the monthly service. The Client is provided with working access to the live Application; the underlying source code is not provided to the Client at any time.</w:t>
      </w:r>
    </w:p>
    <w:p>
      <w:pPr>
        <w:pBdr>
          <w:bottom w:val="single" w:color="000000" w:sz="6" w:space="3"/>
        </w:pBdr>
        <w:spacing w:after="100" w:before="240"/>
      </w:pPr>
      <w:r>
        <w:rPr>
          <w:rFonts w:ascii="Calibri" w:cs="Calibri" w:eastAsia="Calibri" w:hAnsi="Calibri"/>
          <w:b/>
          <w:bCs/>
          <w:caps/>
          <w:color w:val="000000"/>
          <w:sz w:val="22"/>
          <w:szCs w:val="22"/>
        </w:rPr>
        <w:t xml:space="preserve">3. Payment</w:t>
      </w:r>
    </w:p>
    <w:p>
      <w:pPr>
        <w:spacing w:after="130" w:line="252"/>
        <w:jc w:val="both"/>
      </w:pPr>
      <w:r>
        <w:rPr>
          <w:rFonts w:ascii="Calibri" w:cs="Calibri" w:eastAsia="Calibri" w:hAnsi="Calibri"/>
          <w:color w:val="000000"/>
          <w:sz w:val="21"/>
          <w:szCs w:val="21"/>
        </w:rPr>
        <w:t xml:space="preserve">In consideration of the services under this Agreement, the Client shall pay the Company the following:</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pct" w:w="34%"/>
            <w:tcMar>
              <w:top w:type="dxa" w:w="70"/>
              <w:left w:type="dxa" w:w="120"/>
              <w:bottom w:type="dxa" w:w="70"/>
              <w:right w:type="dxa" w:w="120"/>
            </w:tcMar>
            <w:vAlign w:val="center"/>
          </w:tcPr>
          <w:p>
            <w:r>
              <w:rPr>
                <w:rFonts w:ascii="Calibri" w:cs="Calibri" w:eastAsia="Calibri" w:hAnsi="Calibri"/>
                <w:b/>
                <w:bCs/>
                <w:color w:val="000000"/>
                <w:sz w:val="21"/>
                <w:szCs w:val="21"/>
              </w:rPr>
              <w:t xml:space="preserve">Monthly Fee</w:t>
            </w:r>
          </w:p>
        </w:tc>
        <w:tc>
          <w:tcPr>
            <w:tcW w:type="pct" w:w="66%"/>
            <w:tcMar>
              <w:top w:type="dxa" w:w="70"/>
              <w:left w:type="dxa" w:w="120"/>
              <w:bottom w:type="dxa" w:w="70"/>
              <w:right w:type="dxa" w:w="120"/>
            </w:tcMar>
            <w:vAlign w:val="center"/>
          </w:tcPr>
          <w:p>
            <w:r>
              <w:rPr>
                <w:rFonts w:ascii="Calibri" w:cs="Calibri" w:eastAsia="Calibri" w:hAnsi="Calibri"/>
                <w:color w:val="000000"/>
                <w:sz w:val="21"/>
                <w:szCs w:val="21"/>
              </w:rPr>
              <w:t xml:space="preserve">[AED/USD] 1,850.00</w:t>
            </w:r>
          </w:p>
        </w:tc>
      </w:tr>
      <w:tr>
        <w:tc>
          <w:tcPr>
            <w:tcW w:type="pct" w:w="34%"/>
            <w:tcMar>
              <w:top w:type="dxa" w:w="70"/>
              <w:left w:type="dxa" w:w="120"/>
              <w:bottom w:type="dxa" w:w="70"/>
              <w:right w:type="dxa" w:w="120"/>
            </w:tcMar>
            <w:vAlign w:val="center"/>
          </w:tcPr>
          <w:p>
            <w:r>
              <w:rPr>
                <w:rFonts w:ascii="Calibri" w:cs="Calibri" w:eastAsia="Calibri" w:hAnsi="Calibri"/>
                <w:b/>
                <w:bCs/>
                <w:color w:val="000000"/>
                <w:sz w:val="21"/>
                <w:szCs w:val="21"/>
              </w:rPr>
              <w:t xml:space="preserve">Payment Method</w:t>
            </w:r>
          </w:p>
        </w:tc>
        <w:tc>
          <w:tcPr>
            <w:tcW w:type="pct" w:w="66%"/>
            <w:tcMar>
              <w:top w:type="dxa" w:w="70"/>
              <w:left w:type="dxa" w:w="120"/>
              <w:bottom w:type="dxa" w:w="70"/>
              <w:right w:type="dxa" w:w="120"/>
            </w:tcMar>
            <w:vAlign w:val="center"/>
          </w:tcPr>
          <w:p>
            <w:r>
              <w:rPr>
                <w:rFonts w:ascii="Calibri" w:cs="Calibri" w:eastAsia="Calibri" w:hAnsi="Calibri"/>
                <w:color w:val="000000"/>
                <w:sz w:val="21"/>
                <w:szCs w:val="21"/>
              </w:rPr>
              <w:t xml:space="preserve">Cheque</w:t>
            </w:r>
          </w:p>
        </w:tc>
      </w:tr>
      <w:tr>
        <w:tc>
          <w:tcPr>
            <w:tcW w:type="pct" w:w="34%"/>
            <w:tcMar>
              <w:top w:type="dxa" w:w="70"/>
              <w:left w:type="dxa" w:w="120"/>
              <w:bottom w:type="dxa" w:w="70"/>
              <w:right w:type="dxa" w:w="120"/>
            </w:tcMar>
            <w:vAlign w:val="center"/>
          </w:tcPr>
          <w:p>
            <w:r>
              <w:rPr>
                <w:rFonts w:ascii="Calibri" w:cs="Calibri" w:eastAsia="Calibri" w:hAnsi="Calibri"/>
                <w:b/>
                <w:bCs/>
                <w:color w:val="000000"/>
                <w:sz w:val="21"/>
                <w:szCs w:val="21"/>
              </w:rPr>
              <w:t xml:space="preserve">Due Date</w:t>
            </w:r>
          </w:p>
        </w:tc>
        <w:tc>
          <w:tcPr>
            <w:tcW w:type="pct" w:w="66%"/>
            <w:tcMar>
              <w:top w:type="dxa" w:w="70"/>
              <w:left w:type="dxa" w:w="120"/>
              <w:bottom w:type="dxa" w:w="70"/>
              <w:right w:type="dxa" w:w="120"/>
            </w:tcMar>
            <w:vAlign w:val="center"/>
          </w:tcPr>
          <w:p>
            <w:r>
              <w:rPr>
                <w:rFonts w:ascii="Calibri" w:cs="Calibri" w:eastAsia="Calibri" w:hAnsi="Calibri"/>
                <w:color w:val="000000"/>
                <w:sz w:val="21"/>
                <w:szCs w:val="21"/>
              </w:rPr>
              <w:t xml:space="preserve">On or before the 1st of each month</w:t>
            </w:r>
          </w:p>
        </w:tc>
      </w:tr>
      <w:tr>
        <w:tc>
          <w:tcPr>
            <w:tcW w:type="pct" w:w="34%"/>
            <w:tcMar>
              <w:top w:type="dxa" w:w="70"/>
              <w:left w:type="dxa" w:w="120"/>
              <w:bottom w:type="dxa" w:w="70"/>
              <w:right w:type="dxa" w:w="120"/>
            </w:tcMar>
            <w:vAlign w:val="center"/>
          </w:tcPr>
          <w:p>
            <w:r>
              <w:rPr>
                <w:rFonts w:ascii="Calibri" w:cs="Calibri" w:eastAsia="Calibri" w:hAnsi="Calibri"/>
                <w:b/>
                <w:bCs/>
                <w:color w:val="000000"/>
                <w:sz w:val="21"/>
                <w:szCs w:val="21"/>
              </w:rPr>
              <w:t xml:space="preserve">Grace Period</w:t>
            </w:r>
          </w:p>
        </w:tc>
        <w:tc>
          <w:tcPr>
            <w:tcW w:type="pct" w:w="66%"/>
            <w:tcMar>
              <w:top w:type="dxa" w:w="70"/>
              <w:left w:type="dxa" w:w="120"/>
              <w:bottom w:type="dxa" w:w="70"/>
              <w:right w:type="dxa" w:w="120"/>
            </w:tcMar>
            <w:vAlign w:val="center"/>
          </w:tcPr>
          <w:p>
            <w:r>
              <w:rPr>
                <w:rFonts w:ascii="Calibri" w:cs="Calibri" w:eastAsia="Calibri" w:hAnsi="Calibri"/>
                <w:color w:val="000000"/>
                <w:sz w:val="21"/>
                <w:szCs w:val="21"/>
              </w:rPr>
              <w:t xml:space="preserve">Until the 5th of each month</w:t>
            </w:r>
          </w:p>
        </w:tc>
      </w:tr>
      <w:tr>
        <w:tc>
          <w:tcPr>
            <w:tcW w:type="pct" w:w="34%"/>
            <w:tcMar>
              <w:top w:type="dxa" w:w="70"/>
              <w:left w:type="dxa" w:w="120"/>
              <w:bottom w:type="dxa" w:w="70"/>
              <w:right w:type="dxa" w:w="120"/>
            </w:tcMar>
            <w:vAlign w:val="center"/>
          </w:tcPr>
          <w:p>
            <w:r>
              <w:rPr>
                <w:rFonts w:ascii="Calibri" w:cs="Calibri" w:eastAsia="Calibri" w:hAnsi="Calibri"/>
                <w:b/>
                <w:bCs/>
                <w:color w:val="000000"/>
                <w:sz w:val="21"/>
                <w:szCs w:val="21"/>
              </w:rPr>
              <w:t xml:space="preserve">Contract Term</w:t>
            </w:r>
          </w:p>
        </w:tc>
        <w:tc>
          <w:tcPr>
            <w:tcW w:type="pct" w:w="66%"/>
            <w:tcMar>
              <w:top w:type="dxa" w:w="70"/>
              <w:left w:type="dxa" w:w="120"/>
              <w:bottom w:type="dxa" w:w="70"/>
              <w:right w:type="dxa" w:w="120"/>
            </w:tcMar>
            <w:vAlign w:val="center"/>
          </w:tcPr>
          <w:p>
            <w:r>
              <w:rPr>
                <w:rFonts w:ascii="Calibri" w:cs="Calibri" w:eastAsia="Calibri" w:hAnsi="Calibri"/>
                <w:color w:val="000000"/>
                <w:sz w:val="21"/>
                <w:szCs w:val="21"/>
              </w:rPr>
              <w:t xml:space="preserve">Month-to-month, until terminated</w:t>
            </w:r>
          </w:p>
        </w:tc>
      </w:tr>
    </w:tbl>
    <w:p>
      <w:pPr>
        <w:spacing w:after="100"/>
      </w:pPr>
      <w:r>
        <w:rPr>
          <w:sz w:val="4"/>
          <w:szCs w:val="4"/>
        </w:rPr>
        <w:t xml:space="preserve"/>
      </w:r>
    </w:p>
    <w:p>
      <w:pPr>
        <w:spacing w:after="130" w:line="252"/>
        <w:jc w:val="both"/>
      </w:pPr>
      <w:r>
        <w:rPr>
          <w:rFonts w:ascii="Calibri" w:cs="Calibri" w:eastAsia="Calibri" w:hAnsi="Calibri"/>
          <w:color w:val="000000"/>
          <w:sz w:val="21"/>
          <w:szCs w:val="21"/>
        </w:rPr>
        <w:t xml:space="preserve">Payment is due by cheque on or before the 1st of each month. A grace period is allowed until the 5th of each month. If payment is not received by the 5th, the Company may suspend access to the Application until payment is received in full. All fees paid are non-refundable under any circumstances.</w:t>
      </w:r>
    </w:p>
    <w:p>
      <w:pPr>
        <w:pBdr>
          <w:bottom w:val="single" w:color="000000" w:sz="6" w:space="3"/>
        </w:pBdr>
        <w:spacing w:after="100" w:before="240"/>
      </w:pPr>
      <w:r>
        <w:rPr>
          <w:rFonts w:ascii="Calibri" w:cs="Calibri" w:eastAsia="Calibri" w:hAnsi="Calibri"/>
          <w:b/>
          <w:bCs/>
          <w:caps/>
          <w:color w:val="000000"/>
          <w:sz w:val="22"/>
          <w:szCs w:val="22"/>
        </w:rPr>
        <w:t xml:space="preserve">4. Change Requests</w:t>
      </w:r>
    </w:p>
    <w:p>
      <w:pPr>
        <w:spacing w:after="130" w:line="252"/>
        <w:jc w:val="both"/>
      </w:pPr>
      <w:r>
        <w:rPr>
          <w:rFonts w:ascii="Calibri" w:cs="Calibri" w:eastAsia="Calibri" w:hAnsi="Calibri"/>
          <w:color w:val="000000"/>
          <w:sz w:val="21"/>
          <w:szCs w:val="21"/>
        </w:rPr>
        <w:t xml:space="preserve">For a period of two (2) months from Go-Live, the Company shall carry out reasonable change requests to the delivered Application at no additional charge. After this two-month period, any further change requests shall be chargeable, at a rate to be quoted by the Company and agreed with the Client on a per-request basis before the work is carried out.</w:t>
      </w:r>
    </w:p>
    <w:p>
      <w:pPr>
        <w:pBdr>
          <w:bottom w:val="single" w:color="000000" w:sz="6" w:space="3"/>
        </w:pBdr>
        <w:spacing w:after="100" w:before="240"/>
      </w:pPr>
      <w:r>
        <w:rPr>
          <w:rFonts w:ascii="Calibri" w:cs="Calibri" w:eastAsia="Calibri" w:hAnsi="Calibri"/>
          <w:b/>
          <w:bCs/>
          <w:caps/>
          <w:color w:val="000000"/>
          <w:sz w:val="22"/>
          <w:szCs w:val="22"/>
        </w:rPr>
        <w:t xml:space="preserve">5. Term and Termination</w:t>
      </w:r>
    </w:p>
    <w:p>
      <w:pPr>
        <w:spacing w:after="130" w:line="252"/>
        <w:jc w:val="both"/>
      </w:pPr>
      <w:r>
        <w:rPr>
          <w:rFonts w:ascii="Calibri" w:cs="Calibri" w:eastAsia="Calibri" w:hAnsi="Calibri"/>
          <w:color w:val="000000"/>
          <w:sz w:val="21"/>
          <w:szCs w:val="21"/>
        </w:rPr>
        <w:t xml:space="preserve">This Agreement continues on a month-to-month basis until terminated. Either Party may terminate this Agreement for any reason by giving the other Party at least thirty (30) days' prior written notice. If the Client wishes to discontinue the Services, the Client must give the Company at least thirty (30) days' written notice, and the Services and the monthly fee continue during that notice period. The Company may terminate immediately if the Client fails to pay within the grace period on two or more occasions.</w:t>
      </w:r>
    </w:p>
    <w:p>
      <w:pPr>
        <w:pBdr>
          <w:bottom w:val="single" w:color="000000" w:sz="6" w:space="3"/>
        </w:pBdr>
        <w:spacing w:after="100" w:before="240"/>
      </w:pPr>
      <w:r>
        <w:rPr>
          <w:rFonts w:ascii="Calibri" w:cs="Calibri" w:eastAsia="Calibri" w:hAnsi="Calibri"/>
          <w:b/>
          <w:bCs/>
          <w:caps/>
          <w:color w:val="000000"/>
          <w:sz w:val="22"/>
          <w:szCs w:val="22"/>
        </w:rPr>
        <w:t xml:space="preserve">6. Source Code and Client Data</w:t>
      </w:r>
    </w:p>
    <w:p>
      <w:pPr>
        <w:spacing w:after="130" w:line="252"/>
        <w:jc w:val="both"/>
      </w:pPr>
      <w:r>
        <w:rPr>
          <w:rFonts w:ascii="Calibri" w:cs="Calibri" w:eastAsia="Calibri" w:hAnsi="Calibri"/>
          <w:color w:val="000000"/>
          <w:sz w:val="21"/>
          <w:szCs w:val="21"/>
        </w:rPr>
        <w:t xml:space="preserve">The Application, its source code, and all underlying technology remain the sole and exclusive property of the Company at all times and shall not be handed over to the Client, including after termination or expiry of this Agreement. Following completion or termination of this Agreement and the conclusion of hosting, the Company shall return the Client's own documents, data, and content held within the Application, in a reasonable format and within a reasonable time.</w:t>
      </w:r>
    </w:p>
    <w:p>
      <w:pPr>
        <w:pBdr>
          <w:bottom w:val="single" w:color="000000" w:sz="6" w:space="3"/>
        </w:pBdr>
        <w:spacing w:after="100" w:before="240"/>
      </w:pPr>
      <w:r>
        <w:rPr>
          <w:rFonts w:ascii="Calibri" w:cs="Calibri" w:eastAsia="Calibri" w:hAnsi="Calibri"/>
          <w:b/>
          <w:bCs/>
          <w:caps/>
          <w:color w:val="000000"/>
          <w:sz w:val="22"/>
          <w:szCs w:val="22"/>
        </w:rPr>
        <w:t xml:space="preserve">7. General</w:t>
      </w:r>
    </w:p>
    <w:p>
      <w:pPr>
        <w:spacing w:after="130" w:line="252"/>
        <w:jc w:val="both"/>
      </w:pPr>
      <w:r>
        <w:rPr>
          <w:rFonts w:ascii="Calibri" w:cs="Calibri" w:eastAsia="Calibri" w:hAnsi="Calibri"/>
          <w:color w:val="000000"/>
          <w:sz w:val="21"/>
          <w:szCs w:val="21"/>
        </w:rPr>
        <w:t xml:space="preserve">Each Party shall keep confidential all non-public information disclosed by the other Party and shall not disclose it to any third party without prior written consent, except as required by law. The Company's total liability under this Agreement shall not exceed the fees paid by the Client in the three (3) months preceding the claim, and neither Party shall be liable for indirect or consequential damages. This Agreement is governed by the laws of the United Arab Emirates, and constitutes the entire agreement between the Parties. Any amendment must be made in writing and signed by both Parties.</w:t>
      </w:r>
    </w:p>
    <w:p>
      <w:pPr>
        <w:pBdr>
          <w:bottom w:val="single" w:color="000000" w:sz="6" w:space="3"/>
        </w:pBdr>
        <w:spacing w:after="100" w:before="240"/>
      </w:pPr>
      <w:r>
        <w:rPr>
          <w:rFonts w:ascii="Calibri" w:cs="Calibri" w:eastAsia="Calibri" w:hAnsi="Calibri"/>
          <w:b/>
          <w:bCs/>
          <w:caps/>
          <w:color w:val="000000"/>
          <w:sz w:val="22"/>
          <w:szCs w:val="22"/>
        </w:rPr>
        <w:t xml:space="preserve">Signatures</w:t>
      </w:r>
    </w:p>
    <w:p>
      <w:pPr>
        <w:spacing w:after="130" w:line="252"/>
        <w:jc w:val="both"/>
      </w:pPr>
      <w:r>
        <w:rPr>
          <w:rFonts w:ascii="Calibri" w:cs="Calibri" w:eastAsia="Calibri" w:hAnsi="Calibri"/>
          <w:color w:val="000000"/>
          <w:sz w:val="21"/>
          <w:szCs w:val="21"/>
        </w:rPr>
        <w:t xml:space="preserve">IN WITNESS WHEREOF, the Parties have executed this Agreement as of the Effective Date stated above.</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4806"/>
        <w:gridCol w:w="4806"/>
      </w:tblGrid>
      <w:tr>
        <w:tc>
          <w:tcPr>
            <w:tcW w:type="pct" w:w="50%"/>
            <w:tcMar>
              <w:top w:type="dxa" w:w="170"/>
              <w:left w:type="dxa" w:w="150"/>
              <w:bottom w:type="dxa" w:w="170"/>
              <w:right w:type="dxa" w:w="150"/>
            </w:tcMar>
          </w:tcPr>
          <w:p>
            <w:pPr>
              <w:spacing w:after="300"/>
            </w:pPr>
            <w:r>
              <w:rPr>
                <w:rFonts w:ascii="Calibri" w:cs="Calibri" w:eastAsia="Calibri" w:hAnsi="Calibri"/>
                <w:b/>
                <w:bCs/>
                <w:color w:val="000000"/>
                <w:sz w:val="20"/>
                <w:szCs w:val="20"/>
              </w:rPr>
              <w:t xml:space="preserve">For and on behalf of Kynvera</w:t>
            </w:r>
          </w:p>
          <w:p>
            <w:pPr>
              <w:spacing w:after="170"/>
            </w:pPr>
            <w:r>
              <w:rPr>
                <w:rFonts w:ascii="Calibri" w:cs="Calibri" w:eastAsia="Calibri" w:hAnsi="Calibri"/>
                <w:color w:val="595959"/>
                <w:sz w:val="19"/>
                <w:szCs w:val="19"/>
              </w:rPr>
              <w:t xml:space="preserve">Name:</w:t>
            </w:r>
          </w:p>
          <w:p>
            <w:pPr>
              <w:spacing w:after="170"/>
            </w:pPr>
            <w:r>
              <w:rPr>
                <w:rFonts w:ascii="Calibri" w:cs="Calibri" w:eastAsia="Calibri" w:hAnsi="Calibri"/>
                <w:color w:val="595959"/>
                <w:sz w:val="19"/>
                <w:szCs w:val="19"/>
              </w:rPr>
              <w:t xml:space="preserve">Title:</w:t>
            </w:r>
          </w:p>
          <w:p>
            <w:pPr>
              <w:spacing w:after="170"/>
            </w:pPr>
            <w:r>
              <w:rPr>
                <w:rFonts w:ascii="Calibri" w:cs="Calibri" w:eastAsia="Calibri" w:hAnsi="Calibri"/>
                <w:color w:val="595959"/>
                <w:sz w:val="19"/>
                <w:szCs w:val="19"/>
              </w:rPr>
              <w:t xml:space="preserve">Signature:</w:t>
            </w:r>
          </w:p>
          <w:p>
            <w:pPr>
              <w:spacing w:after="60"/>
            </w:pPr>
            <w:r>
              <w:rPr>
                <w:rFonts w:ascii="Calibri" w:cs="Calibri" w:eastAsia="Calibri" w:hAnsi="Calibri"/>
                <w:color w:val="595959"/>
                <w:sz w:val="19"/>
                <w:szCs w:val="19"/>
              </w:rPr>
              <w:t xml:space="preserve">Date:</w:t>
            </w:r>
          </w:p>
        </w:tc>
        <w:tc>
          <w:tcPr>
            <w:tcW w:type="pct" w:w="50%"/>
            <w:tcMar>
              <w:top w:type="dxa" w:w="170"/>
              <w:left w:type="dxa" w:w="150"/>
              <w:bottom w:type="dxa" w:w="170"/>
              <w:right w:type="dxa" w:w="150"/>
            </w:tcMar>
          </w:tcPr>
          <w:p>
            <w:pPr>
              <w:spacing w:after="300"/>
            </w:pPr>
            <w:r>
              <w:rPr>
                <w:rFonts w:ascii="Calibri" w:cs="Calibri" w:eastAsia="Calibri" w:hAnsi="Calibri"/>
                <w:b/>
                <w:bCs/>
                <w:color w:val="000000"/>
                <w:sz w:val="20"/>
                <w:szCs w:val="20"/>
              </w:rPr>
              <w:t xml:space="preserve">For and on behalf of [Client Name]</w:t>
            </w:r>
          </w:p>
          <w:p>
            <w:pPr>
              <w:spacing w:after="170"/>
            </w:pPr>
            <w:r>
              <w:rPr>
                <w:rFonts w:ascii="Calibri" w:cs="Calibri" w:eastAsia="Calibri" w:hAnsi="Calibri"/>
                <w:color w:val="595959"/>
                <w:sz w:val="19"/>
                <w:szCs w:val="19"/>
              </w:rPr>
              <w:t xml:space="preserve">Name:</w:t>
            </w:r>
          </w:p>
          <w:p>
            <w:pPr>
              <w:spacing w:after="170"/>
            </w:pPr>
            <w:r>
              <w:rPr>
                <w:rFonts w:ascii="Calibri" w:cs="Calibri" w:eastAsia="Calibri" w:hAnsi="Calibri"/>
                <w:color w:val="595959"/>
                <w:sz w:val="19"/>
                <w:szCs w:val="19"/>
              </w:rPr>
              <w:t xml:space="preserve">Title:</w:t>
            </w:r>
          </w:p>
          <w:p>
            <w:pPr>
              <w:spacing w:after="170"/>
            </w:pPr>
            <w:r>
              <w:rPr>
                <w:rFonts w:ascii="Calibri" w:cs="Calibri" w:eastAsia="Calibri" w:hAnsi="Calibri"/>
                <w:color w:val="595959"/>
                <w:sz w:val="19"/>
                <w:szCs w:val="19"/>
              </w:rPr>
              <w:t xml:space="preserve">Signature:</w:t>
            </w:r>
          </w:p>
          <w:p>
            <w:pPr>
              <w:spacing w:after="60"/>
            </w:pPr>
            <w:r>
              <w:rPr>
                <w:rFonts w:ascii="Calibri" w:cs="Calibri" w:eastAsia="Calibri" w:hAnsi="Calibri"/>
                <w:color w:val="595959"/>
                <w:sz w:val="19"/>
                <w:szCs w:val="19"/>
              </w:rPr>
              <w:t xml:space="preserve">Date:</w:t>
            </w:r>
          </w:p>
        </w:tc>
      </w:tr>
    </w:tbl>
    <w:sectPr>
      <w:headerReference w:type="default" r:id="rId7"/>
      <w:footerReference w:type="default" r:id="rId8"/>
      <w:pgSz w:w="11906" w:h="16838" w:orient="portrait"/>
      <w:pgMar w:top="11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tabs>
        <w:tab w:val="right" w:pos="9026"/>
      </w:tabs>
      <w:spacing w:before="40"/>
    </w:pPr>
    <w:r>
      <w:rPr>
        <w:rFonts w:ascii="Calibri" w:cs="Calibri" w:eastAsia="Calibri" w:hAnsi="Calibri"/>
        <w:color w:val="595959"/>
        <w:sz w:val="15"/>
        <w:szCs w:val="15"/>
      </w:rPr>
      <w:t xml:space="preserve">Kynvera — Service Agreement</w:t>
    </w:r>
    <w:r>
      <w:rPr>
        <w:rFonts w:ascii="Calibri" w:cs="Calibri" w:eastAsia="Calibri" w:hAnsi="Calibri"/>
        <w:sz w:val="15"/>
        <w:szCs w:val="15"/>
      </w:rPr>
      <w:t xml:space="preserve">	</w:t>
    </w: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6000"/>
      <w:gridCol w:w="3612"/>
    </w:tblGrid>
    <w:tr>
      <w:tc>
        <w:tcPr>
          <w:tcW w:type="pct" w:w="62%"/>
          <w:vAlign w:val="center"/>
        </w:tcPr>
        <w:p>
          <w:r>
            <w:rPr>
              <w:rFonts w:ascii="Calibri" w:cs="Calibri" w:eastAsia="Calibri" w:hAnsi="Calibri"/>
              <w:b/>
              <w:bCs/>
              <w:color w:val="595959"/>
              <w:sz w:val="15"/>
              <w:szCs w:val="15"/>
            </w:rPr>
            <w:t xml:space="preserve">SERVICE AGREEMENT — TERMS &amp; CONDITIONS</w:t>
          </w:r>
        </w:p>
      </w:tc>
      <w:tc>
        <w:tcPr>
          <w:tcW w:type="pct" w:w="38%"/>
          <w:vAlign w:val="center"/>
        </w:tcPr>
        <w:p>
          <w:r>
            <w:rPr>
              <w:sz w:val="2"/>
              <w:szCs w:val="2"/>
            </w:rPr>
            <w:t xml:space="preserve"/>
          </w:r>
        </w:p>
      </w:tc>
    </w:tr>
  </w:tbl>
  <w:p>
    <w:pPr>
      <w:pBdr>
        <w:bottom w:val="single" w:color="000000" w:sz="6" w:space="1"/>
      </w:pBdr>
      <w:spacing w:after="0"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2026-07-19T08:20:09.838Z</dcterms:created>
  <dcterms:modified xsi:type="dcterms:W3CDTF">2026-07-19T08:20:09.838Z</dcterms:modified>
</cp:coreProperties>
</file>

<file path=docProps/custom.xml><?xml version="1.0" encoding="utf-8"?>
<Properties xmlns="http://schemas.openxmlformats.org/officeDocument/2006/custom-properties" xmlns:vt="http://schemas.openxmlformats.org/officeDocument/2006/docPropsVTypes"/>
</file>