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6000"/>
        <w:gridCol w:w="3612"/>
      </w:tblGrid>
      <w:tr>
        <w:tc>
          <w:tcPr>
            <w:tcW w:type="pct" w:w="62%"/>
            <w:vAlign w:val="center"/>
          </w:tcPr>
          <w:p>
            <w:pPr>
              <w:spacing w:after="20"/>
            </w:pPr>
            <w:r>
              <w:rPr>
                <w:rFonts w:ascii="Calibri" w:cs="Calibri" w:eastAsia="Calibri" w:hAnsi="Calibri"/>
                <w:b/>
                <w:bCs/>
                <w:color w:val="000000"/>
                <w:sz w:val="30"/>
                <w:szCs w:val="30"/>
              </w:rPr>
              <w:t xml:space="preserve">SERVICE AGREEMENT</w:t>
            </w:r>
          </w:p>
          <w:p>
            <w:r>
              <w:rPr>
                <w:rFonts w:ascii="Calibri" w:cs="Calibri" w:eastAsia="Calibri" w:hAnsi="Calibri"/>
                <w:i/>
                <w:iCs/>
                <w:color w:val="595959"/>
                <w:sz w:val="18"/>
                <w:szCs w:val="18"/>
              </w:rPr>
              <w:t xml:space="preserve">Terms &amp; Conditions — Application Development, Hosting &amp; Support</w:t>
            </w:r>
          </w:p>
        </w:tc>
        <w:tc>
          <w:tcPr>
            <w:tcW w:type="pct" w:w="38%"/>
            <w:vAlign w:val="center"/>
          </w:tcPr>
          <w:p>
            <w:r>
              <w:rPr>
                <w:sz w:val="2"/>
                <w:szCs w:val="2"/>
              </w:rPr>
              <w:t xml:space="preserve"/>
            </w:r>
          </w:p>
        </w:tc>
      </w:tr>
    </w:tbl>
    <w:p>
      <w:pPr>
        <w:pBdr>
          <w:bottom w:val="single" w:color="000000" w:sz="10" w:space="4"/>
        </w:pBdr>
        <w:spacing w:after="180" w:before="100"/>
      </w:pPr>
      <w:r>
        <w:rPr>
          <w:sz w:val="2"/>
          <w:szCs w:val="2"/>
        </w:rPr>
        <w:t xml:space="preserve"/>
      </w:r>
    </w:p>
    <w:p>
      <w:pPr>
        <w:spacing w:after="120" w:line="246"/>
        <w:jc w:val="both"/>
      </w:pPr>
      <w:r>
        <w:rPr>
          <w:rFonts w:ascii="Calibri" w:cs="Calibri" w:eastAsia="Calibri" w:hAnsi="Calibri"/>
          <w:color w:val="000000"/>
          <w:sz w:val="20"/>
          <w:szCs w:val="20"/>
        </w:rPr>
        <w:t xml:space="preserve">This Agreement is entered into between Kynvera (the "Company") and the Client named below, and sets out the terms on which the Company will develop, deploy, host, and support the Application for the Client.</w:t>
      </w:r>
    </w:p>
    <w:p>
      <w:pPr>
        <w:pBdr>
          <w:bottom w:val="single" w:color="000000" w:sz="6" w:space="3"/>
        </w:pBdr>
        <w:spacing w:after="90" w:before="220"/>
      </w:pPr>
      <w:r>
        <w:rPr>
          <w:rFonts w:ascii="Calibri" w:cs="Calibri" w:eastAsia="Calibri" w:hAnsi="Calibri"/>
          <w:b/>
          <w:bCs/>
          <w:caps/>
          <w:color w:val="000000"/>
          <w:sz w:val="22"/>
          <w:szCs w:val="22"/>
        </w:rPr>
        <w:t xml:space="preserve">1. Key Details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c>
          <w:tcPr>
            <w:tcW w:type="pct" w:w="34%"/>
            <w:shd w:fill="D9D9D9" w:val="clear"/>
            <w:tcMar>
              <w:top w:type="dxa" w:w="60"/>
              <w:left w:type="dxa" w:w="100"/>
              <w:bottom w:type="dxa" w:w="60"/>
              <w:right w:type="dxa" w:w="100"/>
            </w:tcMar>
          </w:tcPr>
          <w:p>
            <w:r>
              <w:rPr>
                <w:rFonts w:ascii="Calibri" w:cs="Calibri" w:eastAsia="Calibri" w:hAnsi="Calibri"/>
                <w:b/>
                <w:bCs/>
                <w:caps/>
                <w:color w:val="000000"/>
                <w:sz w:val="19"/>
                <w:szCs w:val="19"/>
              </w:rPr>
              <w:t xml:space="preserve">Item</w:t>
            </w:r>
          </w:p>
        </w:tc>
        <w:tc>
          <w:tcPr>
            <w:tcW w:type="pct" w:w="66%"/>
            <w:shd w:fill="D9D9D9" w:val="clear"/>
            <w:tcMar>
              <w:top w:type="dxa" w:w="60"/>
              <w:left w:type="dxa" w:w="100"/>
              <w:bottom w:type="dxa" w:w="60"/>
              <w:right w:type="dxa" w:w="100"/>
            </w:tcMar>
          </w:tcPr>
          <w:p>
            <w:r>
              <w:rPr>
                <w:rFonts w:ascii="Calibri" w:cs="Calibri" w:eastAsia="Calibri" w:hAnsi="Calibri"/>
                <w:b/>
                <w:bCs/>
                <w:caps/>
                <w:color w:val="000000"/>
                <w:sz w:val="19"/>
                <w:szCs w:val="19"/>
              </w:rPr>
              <w:t xml:space="preserve">Details</w:t>
            </w:r>
          </w:p>
        </w:tc>
      </w:tr>
      <w:tr>
        <w:tc>
          <w:tcPr>
            <w:tcW w:type="pct" w:w="34%"/>
            <w:shd w:fill="F2F2F2" w:val="clear"/>
            <w:tcMar>
              <w:top w:type="dxa" w:w="60"/>
              <w:left w:type="dxa" w:w="100"/>
              <w:bottom w:type="dxa" w:w="60"/>
              <w:right w:type="dxa" w:w="100"/>
            </w:tcMar>
          </w:tcPr>
          <w:p>
            <w:r>
              <w:rPr>
                <w:rFonts w:ascii="Calibri" w:cs="Calibri" w:eastAsia="Calibri" w:hAnsi="Calibri"/>
                <w:b/>
                <w:bCs/>
                <w:color w:val="000000"/>
                <w:sz w:val="19"/>
                <w:szCs w:val="19"/>
              </w:rPr>
              <w:t xml:space="preserve">Service Provider</w:t>
            </w:r>
          </w:p>
        </w:tc>
        <w:tc>
          <w:tcPr>
            <w:tcW w:type="pct" w:w="66%"/>
            <w:shd w:fill="F2F2F2" w:val="clear"/>
            <w:tcMar>
              <w:top w:type="dxa" w:w="60"/>
              <w:left w:type="dxa" w:w="100"/>
              <w:bottom w:type="dxa" w:w="60"/>
              <w:right w:type="dxa" w:w="100"/>
            </w:tcMar>
          </w:tcPr>
          <w:p>
            <w:r>
              <w:rPr>
                <w:rFonts w:ascii="Calibri" w:cs="Calibri" w:eastAsia="Calibri" w:hAnsi="Calibri"/>
                <w:color w:val="000000"/>
                <w:sz w:val="19"/>
                <w:szCs w:val="19"/>
              </w:rPr>
              <w:t xml:space="preserve">Kynvera</w:t>
            </w:r>
          </w:p>
        </w:tc>
      </w:tr>
      <w:tr>
        <w:tc>
          <w:tcPr>
            <w:tcW w:type="pct" w:w="34%"/>
            <w:tcMar>
              <w:top w:type="dxa" w:w="60"/>
              <w:left w:type="dxa" w:w="100"/>
              <w:bottom w:type="dxa" w:w="60"/>
              <w:right w:type="dxa" w:w="100"/>
            </w:tcMar>
          </w:tcPr>
          <w:p>
            <w:r>
              <w:rPr>
                <w:rFonts w:ascii="Calibri" w:cs="Calibri" w:eastAsia="Calibri" w:hAnsi="Calibri"/>
                <w:b/>
                <w:bCs/>
                <w:color w:val="000000"/>
                <w:sz w:val="19"/>
                <w:szCs w:val="19"/>
              </w:rPr>
              <w:t xml:space="preserve">Client</w:t>
            </w:r>
          </w:p>
        </w:tc>
        <w:tc>
          <w:tcPr>
            <w:tcW w:type="pct" w:w="66%"/>
            <w:tcMar>
              <w:top w:type="dxa" w:w="60"/>
              <w:left w:type="dxa" w:w="100"/>
              <w:bottom w:type="dxa" w:w="60"/>
              <w:right w:type="dxa" w:w="100"/>
            </w:tcMar>
          </w:tcPr>
          <w:p>
            <w:r>
              <w:rPr>
                <w:rFonts w:ascii="Calibri" w:cs="Calibri" w:eastAsia="Calibri" w:hAnsi="Calibri"/>
                <w:color w:val="000000"/>
                <w:sz w:val="19"/>
                <w:szCs w:val="19"/>
              </w:rPr>
              <w:t xml:space="preserve">[Client Name]</w:t>
            </w:r>
          </w:p>
        </w:tc>
      </w:tr>
      <w:tr>
        <w:tc>
          <w:tcPr>
            <w:tcW w:type="pct" w:w="34%"/>
            <w:shd w:fill="F2F2F2" w:val="clear"/>
            <w:tcMar>
              <w:top w:type="dxa" w:w="60"/>
              <w:left w:type="dxa" w:w="100"/>
              <w:bottom w:type="dxa" w:w="60"/>
              <w:right w:type="dxa" w:w="100"/>
            </w:tcMar>
          </w:tcPr>
          <w:p>
            <w:r>
              <w:rPr>
                <w:rFonts w:ascii="Calibri" w:cs="Calibri" w:eastAsia="Calibri" w:hAnsi="Calibri"/>
                <w:b/>
                <w:bCs/>
                <w:color w:val="000000"/>
                <w:sz w:val="19"/>
                <w:szCs w:val="19"/>
              </w:rPr>
              <w:t xml:space="preserve">Effective Date</w:t>
            </w:r>
          </w:p>
        </w:tc>
        <w:tc>
          <w:tcPr>
            <w:tcW w:type="pct" w:w="66%"/>
            <w:shd w:fill="F2F2F2" w:val="clear"/>
            <w:tcMar>
              <w:top w:type="dxa" w:w="60"/>
              <w:left w:type="dxa" w:w="100"/>
              <w:bottom w:type="dxa" w:w="60"/>
              <w:right w:type="dxa" w:w="100"/>
            </w:tcMar>
          </w:tcPr>
          <w:p>
            <w:r>
              <w:rPr>
                <w:rFonts w:ascii="Calibri" w:cs="Calibri" w:eastAsia="Calibri" w:hAnsi="Calibri"/>
                <w:color w:val="000000"/>
                <w:sz w:val="19"/>
                <w:szCs w:val="19"/>
              </w:rPr>
              <w:t xml:space="preserve">[Effective Date]</w:t>
            </w:r>
          </w:p>
        </w:tc>
      </w:tr>
      <w:tr>
        <w:tc>
          <w:tcPr>
            <w:tcW w:type="pct" w:w="34%"/>
            <w:tcMar>
              <w:top w:type="dxa" w:w="60"/>
              <w:left w:type="dxa" w:w="100"/>
              <w:bottom w:type="dxa" w:w="60"/>
              <w:right w:type="dxa" w:w="100"/>
            </w:tcMar>
          </w:tcPr>
          <w:p>
            <w:r>
              <w:rPr>
                <w:rFonts w:ascii="Calibri" w:cs="Calibri" w:eastAsia="Calibri" w:hAnsi="Calibri"/>
                <w:b/>
                <w:bCs/>
                <w:color w:val="000000"/>
                <w:sz w:val="19"/>
                <w:szCs w:val="19"/>
              </w:rPr>
              <w:t xml:space="preserve">Application / System</w:t>
            </w:r>
          </w:p>
        </w:tc>
        <w:tc>
          <w:tcPr>
            <w:tcW w:type="pct" w:w="66%"/>
            <w:tcMar>
              <w:top w:type="dxa" w:w="60"/>
              <w:left w:type="dxa" w:w="100"/>
              <w:bottom w:type="dxa" w:w="60"/>
              <w:right w:type="dxa" w:w="100"/>
            </w:tcMar>
          </w:tcPr>
          <w:p>
            <w:r>
              <w:rPr>
                <w:rFonts w:ascii="Calibri" w:cs="Calibri" w:eastAsia="Calibri" w:hAnsi="Calibri"/>
                <w:color w:val="000000"/>
                <w:sz w:val="19"/>
                <w:szCs w:val="19"/>
              </w:rPr>
              <w:t xml:space="preserve">[System / Application Name]</w:t>
            </w:r>
          </w:p>
        </w:tc>
      </w:tr>
      <w:tr>
        <w:tc>
          <w:tcPr>
            <w:tcW w:type="pct" w:w="34%"/>
            <w:shd w:fill="F2F2F2" w:val="clear"/>
            <w:tcMar>
              <w:top w:type="dxa" w:w="60"/>
              <w:left w:type="dxa" w:w="100"/>
              <w:bottom w:type="dxa" w:w="60"/>
              <w:right w:type="dxa" w:w="100"/>
            </w:tcMar>
          </w:tcPr>
          <w:p>
            <w:r>
              <w:rPr>
                <w:rFonts w:ascii="Calibri" w:cs="Calibri" w:eastAsia="Calibri" w:hAnsi="Calibri"/>
                <w:b/>
                <w:bCs/>
                <w:color w:val="000000"/>
                <w:sz w:val="19"/>
                <w:szCs w:val="19"/>
              </w:rPr>
              <w:t xml:space="preserve">Contract Term</w:t>
            </w:r>
          </w:p>
        </w:tc>
        <w:tc>
          <w:tcPr>
            <w:tcW w:type="pct" w:w="66%"/>
            <w:shd w:fill="F2F2F2" w:val="clear"/>
            <w:tcMar>
              <w:top w:type="dxa" w:w="60"/>
              <w:left w:type="dxa" w:w="100"/>
              <w:bottom w:type="dxa" w:w="60"/>
              <w:right w:type="dxa" w:w="100"/>
            </w:tcMar>
          </w:tcPr>
          <w:p>
            <w:r>
              <w:rPr>
                <w:rFonts w:ascii="Calibri" w:cs="Calibri" w:eastAsia="Calibri" w:hAnsi="Calibri"/>
                <w:color w:val="000000"/>
                <w:sz w:val="19"/>
                <w:szCs w:val="19"/>
              </w:rPr>
              <w:t xml:space="preserve">Month-to-month, until terminated by either Party</w:t>
            </w:r>
          </w:p>
        </w:tc>
      </w:tr>
      <w:tr>
        <w:tc>
          <w:tcPr>
            <w:tcW w:type="pct" w:w="34%"/>
            <w:tcMar>
              <w:top w:type="dxa" w:w="60"/>
              <w:left w:type="dxa" w:w="100"/>
              <w:bottom w:type="dxa" w:w="60"/>
              <w:right w:type="dxa" w:w="100"/>
            </w:tcMar>
          </w:tcPr>
          <w:p>
            <w:r>
              <w:rPr>
                <w:rFonts w:ascii="Calibri" w:cs="Calibri" w:eastAsia="Calibri" w:hAnsi="Calibri"/>
                <w:b/>
                <w:bCs/>
                <w:color w:val="000000"/>
                <w:sz w:val="19"/>
                <w:szCs w:val="19"/>
              </w:rPr>
              <w:t xml:space="preserve">Monthly Fee</w:t>
            </w:r>
          </w:p>
        </w:tc>
        <w:tc>
          <w:tcPr>
            <w:tcW w:type="pct" w:w="66%"/>
            <w:tcMar>
              <w:top w:type="dxa" w:w="60"/>
              <w:left w:type="dxa" w:w="100"/>
              <w:bottom w:type="dxa" w:w="60"/>
              <w:right w:type="dxa" w:w="100"/>
            </w:tcMar>
          </w:tcPr>
          <w:p>
            <w:r>
              <w:rPr>
                <w:rFonts w:ascii="Calibri" w:cs="Calibri" w:eastAsia="Calibri" w:hAnsi="Calibri"/>
                <w:color w:val="000000"/>
                <w:sz w:val="19"/>
                <w:szCs w:val="19"/>
              </w:rPr>
              <w:t xml:space="preserve">[AED/USD] 1,850.00</w:t>
            </w:r>
          </w:p>
        </w:tc>
      </w:tr>
      <w:tr>
        <w:tc>
          <w:tcPr>
            <w:tcW w:type="pct" w:w="34%"/>
            <w:shd w:fill="F2F2F2" w:val="clear"/>
            <w:tcMar>
              <w:top w:type="dxa" w:w="60"/>
              <w:left w:type="dxa" w:w="100"/>
              <w:bottom w:type="dxa" w:w="60"/>
              <w:right w:type="dxa" w:w="100"/>
            </w:tcMar>
          </w:tcPr>
          <w:p>
            <w:r>
              <w:rPr>
                <w:rFonts w:ascii="Calibri" w:cs="Calibri" w:eastAsia="Calibri" w:hAnsi="Calibri"/>
                <w:b/>
                <w:bCs/>
                <w:color w:val="000000"/>
                <w:sz w:val="19"/>
                <w:szCs w:val="19"/>
              </w:rPr>
              <w:t xml:space="preserve">Payment Due Date</w:t>
            </w:r>
          </w:p>
        </w:tc>
        <w:tc>
          <w:tcPr>
            <w:tcW w:type="pct" w:w="66%"/>
            <w:shd w:fill="F2F2F2" w:val="clear"/>
            <w:tcMar>
              <w:top w:type="dxa" w:w="60"/>
              <w:left w:type="dxa" w:w="100"/>
              <w:bottom w:type="dxa" w:w="60"/>
              <w:right w:type="dxa" w:w="100"/>
            </w:tcMar>
          </w:tcPr>
          <w:p>
            <w:r>
              <w:rPr>
                <w:rFonts w:ascii="Calibri" w:cs="Calibri" w:eastAsia="Calibri" w:hAnsi="Calibri"/>
                <w:color w:val="000000"/>
                <w:sz w:val="19"/>
                <w:szCs w:val="19"/>
              </w:rPr>
              <w:t xml:space="preserve">On or before the 1st of each month, by cheque</w:t>
            </w:r>
          </w:p>
        </w:tc>
      </w:tr>
      <w:tr>
        <w:tc>
          <w:tcPr>
            <w:tcW w:type="pct" w:w="34%"/>
            <w:tcMar>
              <w:top w:type="dxa" w:w="60"/>
              <w:left w:type="dxa" w:w="100"/>
              <w:bottom w:type="dxa" w:w="60"/>
              <w:right w:type="dxa" w:w="100"/>
            </w:tcMar>
          </w:tcPr>
          <w:p>
            <w:r>
              <w:rPr>
                <w:rFonts w:ascii="Calibri" w:cs="Calibri" w:eastAsia="Calibri" w:hAnsi="Calibri"/>
                <w:b/>
                <w:bCs/>
                <w:color w:val="000000"/>
                <w:sz w:val="19"/>
                <w:szCs w:val="19"/>
              </w:rPr>
              <w:t xml:space="preserve">Grace Period</w:t>
            </w:r>
          </w:p>
        </w:tc>
        <w:tc>
          <w:tcPr>
            <w:tcW w:type="pct" w:w="66%"/>
            <w:tcMar>
              <w:top w:type="dxa" w:w="60"/>
              <w:left w:type="dxa" w:w="100"/>
              <w:bottom w:type="dxa" w:w="60"/>
              <w:right w:type="dxa" w:w="100"/>
            </w:tcMar>
          </w:tcPr>
          <w:p>
            <w:r>
              <w:rPr>
                <w:rFonts w:ascii="Calibri" w:cs="Calibri" w:eastAsia="Calibri" w:hAnsi="Calibri"/>
                <w:color w:val="000000"/>
                <w:sz w:val="19"/>
                <w:szCs w:val="19"/>
              </w:rPr>
              <w:t xml:space="preserve">Through the 5th of each month</w:t>
            </w:r>
          </w:p>
        </w:tc>
      </w:tr>
    </w:tbl>
    <w:p>
      <w:pPr>
        <w:pBdr>
          <w:bottom w:val="single" w:color="000000" w:sz="6" w:space="3"/>
        </w:pBdr>
        <w:spacing w:after="90" w:before="220"/>
      </w:pPr>
      <w:r>
        <w:rPr>
          <w:rFonts w:ascii="Calibri" w:cs="Calibri" w:eastAsia="Calibri" w:hAnsi="Calibri"/>
          <w:b/>
          <w:bCs/>
          <w:caps/>
          <w:color w:val="000000"/>
          <w:sz w:val="22"/>
          <w:szCs w:val="22"/>
        </w:rPr>
        <w:t xml:space="preserve">2. Deployment &amp; Delivery</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c>
          <w:tcPr>
            <w:tcW w:type="pct" w:w="30%"/>
            <w:shd w:fill="D9D9D9" w:val="clear"/>
            <w:tcMar>
              <w:top w:type="dxa" w:w="60"/>
              <w:left w:type="dxa" w:w="100"/>
              <w:bottom w:type="dxa" w:w="60"/>
              <w:right w:type="dxa" w:w="100"/>
            </w:tcMar>
          </w:tcPr>
          <w:p>
            <w:r>
              <w:rPr>
                <w:rFonts w:ascii="Calibri" w:cs="Calibri" w:eastAsia="Calibri" w:hAnsi="Calibri"/>
                <w:b/>
                <w:bCs/>
                <w:caps/>
                <w:color w:val="000000"/>
                <w:sz w:val="19"/>
                <w:szCs w:val="19"/>
              </w:rPr>
              <w:t xml:space="preserve">Item</w:t>
            </w:r>
          </w:p>
        </w:tc>
        <w:tc>
          <w:tcPr>
            <w:tcW w:type="pct" w:w="70%"/>
            <w:shd w:fill="D9D9D9" w:val="clear"/>
            <w:tcMar>
              <w:top w:type="dxa" w:w="60"/>
              <w:left w:type="dxa" w:w="100"/>
              <w:bottom w:type="dxa" w:w="60"/>
              <w:right w:type="dxa" w:w="100"/>
            </w:tcMar>
          </w:tcPr>
          <w:p>
            <w:r>
              <w:rPr>
                <w:rFonts w:ascii="Calibri" w:cs="Calibri" w:eastAsia="Calibri" w:hAnsi="Calibri"/>
                <w:b/>
                <w:bCs/>
                <w:caps/>
                <w:color w:val="000000"/>
                <w:sz w:val="19"/>
                <w:szCs w:val="19"/>
              </w:rPr>
              <w:t xml:space="preserve">Details</w:t>
            </w:r>
          </w:p>
        </w:tc>
      </w:tr>
      <w:tr>
        <w:tc>
          <w:tcPr>
            <w:tcW w:type="pct" w:w="30%"/>
            <w:shd w:fill="F2F2F2" w:val="clear"/>
            <w:tcMar>
              <w:top w:type="dxa" w:w="60"/>
              <w:left w:type="dxa" w:w="100"/>
              <w:bottom w:type="dxa" w:w="60"/>
              <w:right w:type="dxa" w:w="100"/>
            </w:tcMar>
          </w:tcPr>
          <w:p>
            <w:r>
              <w:rPr>
                <w:rFonts w:ascii="Calibri" w:cs="Calibri" w:eastAsia="Calibri" w:hAnsi="Calibri"/>
                <w:b/>
                <w:bCs/>
                <w:color w:val="000000"/>
                <w:sz w:val="19"/>
                <w:szCs w:val="19"/>
              </w:rPr>
              <w:t xml:space="preserve">Development</w:t>
            </w:r>
          </w:p>
        </w:tc>
        <w:tc>
          <w:tcPr>
            <w:tcW w:type="pct" w:w="70%"/>
            <w:shd w:fill="F2F2F2" w:val="clear"/>
            <w:tcMar>
              <w:top w:type="dxa" w:w="60"/>
              <w:left w:type="dxa" w:w="100"/>
              <w:bottom w:type="dxa" w:w="60"/>
              <w:right w:type="dxa" w:w="100"/>
            </w:tcMar>
          </w:tcPr>
          <w:p>
            <w:r>
              <w:rPr>
                <w:rFonts w:ascii="Calibri" w:cs="Calibri" w:eastAsia="Calibri" w:hAnsi="Calibri"/>
                <w:color w:val="000000"/>
                <w:sz w:val="19"/>
                <w:szCs w:val="19"/>
              </w:rPr>
              <w:t xml:space="preserve">Company designs and builds the Application per the agreed scope and features</w:t>
            </w:r>
          </w:p>
        </w:tc>
      </w:tr>
      <w:tr>
        <w:tc>
          <w:tcPr>
            <w:tcW w:type="pct" w:w="30%"/>
            <w:tcMar>
              <w:top w:type="dxa" w:w="60"/>
              <w:left w:type="dxa" w:w="100"/>
              <w:bottom w:type="dxa" w:w="60"/>
              <w:right w:type="dxa" w:w="100"/>
            </w:tcMar>
          </w:tcPr>
          <w:p>
            <w:r>
              <w:rPr>
                <w:rFonts w:ascii="Calibri" w:cs="Calibri" w:eastAsia="Calibri" w:hAnsi="Calibri"/>
                <w:b/>
                <w:bCs/>
                <w:color w:val="000000"/>
                <w:sz w:val="19"/>
                <w:szCs w:val="19"/>
              </w:rPr>
              <w:t xml:space="preserve">Hosting</w:t>
            </w:r>
          </w:p>
        </w:tc>
        <w:tc>
          <w:tcPr>
            <w:tcW w:type="pct" w:w="70%"/>
            <w:tcMar>
              <w:top w:type="dxa" w:w="60"/>
              <w:left w:type="dxa" w:w="100"/>
              <w:bottom w:type="dxa" w:w="60"/>
              <w:right w:type="dxa" w:w="100"/>
            </w:tcMar>
          </w:tcPr>
          <w:p>
            <w:r>
              <w:rPr>
                <w:rFonts w:ascii="Calibri" w:cs="Calibri" w:eastAsia="Calibri" w:hAnsi="Calibri"/>
                <w:color w:val="000000"/>
                <w:sz w:val="19"/>
                <w:szCs w:val="19"/>
              </w:rPr>
              <w:t xml:space="preserve">Application is hosted and deployed by the Company on its own infrastructure; all hosting costs are borne solely by the Company</w:t>
            </w:r>
          </w:p>
        </w:tc>
      </w:tr>
      <w:tr>
        <w:tc>
          <w:tcPr>
            <w:tcW w:type="pct" w:w="30%"/>
            <w:shd w:fill="F2F2F2" w:val="clear"/>
            <w:tcMar>
              <w:top w:type="dxa" w:w="60"/>
              <w:left w:type="dxa" w:w="100"/>
              <w:bottom w:type="dxa" w:w="60"/>
              <w:right w:type="dxa" w:w="100"/>
            </w:tcMar>
          </w:tcPr>
          <w:p>
            <w:r>
              <w:rPr>
                <w:rFonts w:ascii="Calibri" w:cs="Calibri" w:eastAsia="Calibri" w:hAnsi="Calibri"/>
                <w:b/>
                <w:bCs/>
                <w:color w:val="000000"/>
                <w:sz w:val="19"/>
                <w:szCs w:val="19"/>
              </w:rPr>
              <w:t xml:space="preserve">Go-Live</w:t>
            </w:r>
          </w:p>
        </w:tc>
        <w:tc>
          <w:tcPr>
            <w:tcW w:type="pct" w:w="70%"/>
            <w:shd w:fill="F2F2F2" w:val="clear"/>
            <w:tcMar>
              <w:top w:type="dxa" w:w="60"/>
              <w:left w:type="dxa" w:w="100"/>
              <w:bottom w:type="dxa" w:w="60"/>
              <w:right w:type="dxa" w:w="100"/>
            </w:tcMar>
          </w:tcPr>
          <w:p>
            <w:r>
              <w:rPr>
                <w:rFonts w:ascii="Calibri" w:cs="Calibri" w:eastAsia="Calibri" w:hAnsi="Calibri"/>
                <w:color w:val="000000"/>
                <w:sz w:val="19"/>
                <w:szCs w:val="19"/>
              </w:rPr>
              <w:t xml:space="preserve">Application is deployed to production once development is complete and accepted by the Client</w:t>
            </w:r>
          </w:p>
        </w:tc>
      </w:tr>
      <w:tr>
        <w:tc>
          <w:tcPr>
            <w:tcW w:type="pct" w:w="30%"/>
            <w:tcMar>
              <w:top w:type="dxa" w:w="60"/>
              <w:left w:type="dxa" w:w="100"/>
              <w:bottom w:type="dxa" w:w="60"/>
              <w:right w:type="dxa" w:w="100"/>
            </w:tcMar>
          </w:tcPr>
          <w:p>
            <w:r>
              <w:rPr>
                <w:rFonts w:ascii="Calibri" w:cs="Calibri" w:eastAsia="Calibri" w:hAnsi="Calibri"/>
                <w:b/>
                <w:bCs/>
                <w:color w:val="000000"/>
                <w:sz w:val="19"/>
                <w:szCs w:val="19"/>
              </w:rPr>
              <w:t xml:space="preserve">Ongoing Updates</w:t>
            </w:r>
          </w:p>
        </w:tc>
        <w:tc>
          <w:tcPr>
            <w:tcW w:type="pct" w:w="70%"/>
            <w:tcMar>
              <w:top w:type="dxa" w:w="60"/>
              <w:left w:type="dxa" w:w="100"/>
              <w:bottom w:type="dxa" w:w="60"/>
              <w:right w:type="dxa" w:w="100"/>
            </w:tcMar>
          </w:tcPr>
          <w:p>
            <w:r>
              <w:rPr>
                <w:rFonts w:ascii="Calibri" w:cs="Calibri" w:eastAsia="Calibri" w:hAnsi="Calibri"/>
                <w:color w:val="000000"/>
                <w:sz w:val="19"/>
                <w:szCs w:val="19"/>
              </w:rPr>
              <w:t xml:space="preserve">Updates, fixes, and releases are deployed by the Company as part of the Monthly Fee</w:t>
            </w:r>
          </w:p>
        </w:tc>
      </w:tr>
      <w:tr>
        <w:tc>
          <w:tcPr>
            <w:tcW w:type="pct" w:w="30%"/>
            <w:shd w:fill="F2F2F2" w:val="clear"/>
            <w:tcMar>
              <w:top w:type="dxa" w:w="60"/>
              <w:left w:type="dxa" w:w="100"/>
              <w:bottom w:type="dxa" w:w="60"/>
              <w:right w:type="dxa" w:w="100"/>
            </w:tcMar>
          </w:tcPr>
          <w:p>
            <w:r>
              <w:rPr>
                <w:rFonts w:ascii="Calibri" w:cs="Calibri" w:eastAsia="Calibri" w:hAnsi="Calibri"/>
                <w:b/>
                <w:bCs/>
                <w:color w:val="000000"/>
                <w:sz w:val="19"/>
                <w:szCs w:val="19"/>
              </w:rPr>
              <w:t xml:space="preserve">Client Access</w:t>
            </w:r>
          </w:p>
        </w:tc>
        <w:tc>
          <w:tcPr>
            <w:tcW w:type="pct" w:w="70%"/>
            <w:shd w:fill="F2F2F2" w:val="clear"/>
            <w:tcMar>
              <w:top w:type="dxa" w:w="60"/>
              <w:left w:type="dxa" w:w="100"/>
              <w:bottom w:type="dxa" w:w="60"/>
              <w:right w:type="dxa" w:w="100"/>
            </w:tcMar>
          </w:tcPr>
          <w:p>
            <w:r>
              <w:rPr>
                <w:rFonts w:ascii="Calibri" w:cs="Calibri" w:eastAsia="Calibri" w:hAnsi="Calibri"/>
                <w:color w:val="000000"/>
                <w:sz w:val="19"/>
                <w:szCs w:val="19"/>
              </w:rPr>
              <w:t xml:space="preserve">Client is given working access to the live Application; the underlying source code is not provided at any time</w:t>
            </w:r>
          </w:p>
        </w:tc>
      </w:tr>
    </w:tbl>
    <w:p>
      <w:pPr>
        <w:pBdr>
          <w:bottom w:val="single" w:color="000000" w:sz="6" w:space="3"/>
        </w:pBdr>
        <w:spacing w:after="90" w:before="220"/>
      </w:pPr>
      <w:r>
        <w:rPr>
          <w:rFonts w:ascii="Calibri" w:cs="Calibri" w:eastAsia="Calibri" w:hAnsi="Calibri"/>
          <w:b/>
          <w:bCs/>
          <w:caps/>
          <w:color w:val="000000"/>
          <w:sz w:val="22"/>
          <w:szCs w:val="22"/>
        </w:rPr>
        <w:t xml:space="preserve">3. Change Requests After Go-Live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c>
          <w:tcPr>
            <w:tcW w:type="pct" w:w="34%"/>
            <w:shd w:fill="D9D9D9" w:val="clear"/>
            <w:tcMar>
              <w:top w:type="dxa" w:w="60"/>
              <w:left w:type="dxa" w:w="100"/>
              <w:bottom w:type="dxa" w:w="60"/>
              <w:right w:type="dxa" w:w="100"/>
            </w:tcMar>
          </w:tcPr>
          <w:p>
            <w:r>
              <w:rPr>
                <w:rFonts w:ascii="Calibri" w:cs="Calibri" w:eastAsia="Calibri" w:hAnsi="Calibri"/>
                <w:b/>
                <w:bCs/>
                <w:caps/>
                <w:color w:val="000000"/>
                <w:sz w:val="19"/>
                <w:szCs w:val="19"/>
              </w:rPr>
              <w:t xml:space="preserve">Period</w:t>
            </w:r>
          </w:p>
        </w:tc>
        <w:tc>
          <w:tcPr>
            <w:tcW w:type="pct" w:w="66%"/>
            <w:shd w:fill="D9D9D9" w:val="clear"/>
            <w:tcMar>
              <w:top w:type="dxa" w:w="60"/>
              <w:left w:type="dxa" w:w="100"/>
              <w:bottom w:type="dxa" w:w="60"/>
              <w:right w:type="dxa" w:w="100"/>
            </w:tcMar>
          </w:tcPr>
          <w:p>
            <w:r>
              <w:rPr>
                <w:rFonts w:ascii="Calibri" w:cs="Calibri" w:eastAsia="Calibri" w:hAnsi="Calibri"/>
                <w:b/>
                <w:bCs/>
                <w:caps/>
                <w:color w:val="000000"/>
                <w:sz w:val="19"/>
                <w:szCs w:val="19"/>
              </w:rPr>
              <w:t xml:space="preserve">Terms</w:t>
            </w:r>
          </w:p>
        </w:tc>
      </w:tr>
      <w:tr>
        <w:tc>
          <w:tcPr>
            <w:tcW w:type="pct" w:w="34%"/>
            <w:shd w:fill="F2F2F2" w:val="clear"/>
            <w:tcMar>
              <w:top w:type="dxa" w:w="60"/>
              <w:left w:type="dxa" w:w="100"/>
              <w:bottom w:type="dxa" w:w="60"/>
              <w:right w:type="dxa" w:w="100"/>
            </w:tcMar>
          </w:tcPr>
          <w:p>
            <w:r>
              <w:rPr>
                <w:rFonts w:ascii="Calibri" w:cs="Calibri" w:eastAsia="Calibri" w:hAnsi="Calibri"/>
                <w:b/>
                <w:bCs/>
                <w:color w:val="000000"/>
                <w:sz w:val="19"/>
                <w:szCs w:val="19"/>
              </w:rPr>
              <w:t xml:space="preserve">First 2 months from Go-Live</w:t>
            </w:r>
          </w:p>
        </w:tc>
        <w:tc>
          <w:tcPr>
            <w:tcW w:type="pct" w:w="66%"/>
            <w:shd w:fill="F2F2F2" w:val="clear"/>
            <w:tcMar>
              <w:top w:type="dxa" w:w="60"/>
              <w:left w:type="dxa" w:w="100"/>
              <w:bottom w:type="dxa" w:w="60"/>
              <w:right w:type="dxa" w:w="100"/>
            </w:tcMar>
          </w:tcPr>
          <w:p>
            <w:r>
              <w:rPr>
                <w:rFonts w:ascii="Calibri" w:cs="Calibri" w:eastAsia="Calibri" w:hAnsi="Calibri"/>
                <w:color w:val="000000"/>
                <w:sz w:val="19"/>
                <w:szCs w:val="19"/>
              </w:rPr>
              <w:t xml:space="preserve">Reasonable change requests to the delivered Application are carried out at no additional charge</w:t>
            </w:r>
          </w:p>
        </w:tc>
      </w:tr>
      <w:tr>
        <w:tc>
          <w:tcPr>
            <w:tcW w:type="pct" w:w="34%"/>
            <w:tcMar>
              <w:top w:type="dxa" w:w="60"/>
              <w:left w:type="dxa" w:w="100"/>
              <w:bottom w:type="dxa" w:w="60"/>
              <w:right w:type="dxa" w:w="100"/>
            </w:tcMar>
          </w:tcPr>
          <w:p>
            <w:r>
              <w:rPr>
                <w:rFonts w:ascii="Calibri" w:cs="Calibri" w:eastAsia="Calibri" w:hAnsi="Calibri"/>
                <w:b/>
                <w:bCs/>
                <w:color w:val="000000"/>
                <w:sz w:val="19"/>
                <w:szCs w:val="19"/>
              </w:rPr>
              <w:t xml:space="preserve">After 2 months from Go-Live</w:t>
            </w:r>
          </w:p>
        </w:tc>
        <w:tc>
          <w:tcPr>
            <w:tcW w:type="pct" w:w="66%"/>
            <w:tcMar>
              <w:top w:type="dxa" w:w="60"/>
              <w:left w:type="dxa" w:w="100"/>
              <w:bottom w:type="dxa" w:w="60"/>
              <w:right w:type="dxa" w:w="100"/>
            </w:tcMar>
          </w:tcPr>
          <w:p>
            <w:r>
              <w:rPr>
                <w:rFonts w:ascii="Calibri" w:cs="Calibri" w:eastAsia="Calibri" w:hAnsi="Calibri"/>
                <w:color w:val="000000"/>
                <w:sz w:val="19"/>
                <w:szCs w:val="19"/>
              </w:rPr>
              <w:t xml:space="preserve">Further change requests are chargeable, at a rate to be quoted and agreed per request</w:t>
            </w:r>
          </w:p>
        </w:tc>
      </w:tr>
    </w:tbl>
    <w:p>
      <w:pPr>
        <w:pBdr>
          <w:bottom w:val="single" w:color="000000" w:sz="6" w:space="3"/>
        </w:pBdr>
        <w:spacing w:after="90" w:before="220"/>
      </w:pPr>
      <w:r>
        <w:rPr>
          <w:rFonts w:ascii="Calibri" w:cs="Calibri" w:eastAsia="Calibri" w:hAnsi="Calibri"/>
          <w:b/>
          <w:bCs/>
          <w:caps/>
          <w:color w:val="000000"/>
          <w:sz w:val="22"/>
          <w:szCs w:val="22"/>
        </w:rPr>
        <w:t xml:space="preserve">4. Terms &amp; Conditions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c>
          <w:tcPr>
            <w:tcW w:type="pct" w:w="34%"/>
            <w:shd w:fill="D9D9D9" w:val="clear"/>
            <w:tcMar>
              <w:top w:type="dxa" w:w="60"/>
              <w:left w:type="dxa" w:w="100"/>
              <w:bottom w:type="dxa" w:w="60"/>
              <w:right w:type="dxa" w:w="100"/>
            </w:tcMar>
          </w:tcPr>
          <w:p>
            <w:r>
              <w:rPr>
                <w:rFonts w:ascii="Calibri" w:cs="Calibri" w:eastAsia="Calibri" w:hAnsi="Calibri"/>
                <w:b/>
                <w:bCs/>
                <w:caps/>
                <w:color w:val="000000"/>
                <w:sz w:val="19"/>
                <w:szCs w:val="19"/>
              </w:rPr>
              <w:t xml:space="preserve">Clause</w:t>
            </w:r>
          </w:p>
        </w:tc>
        <w:tc>
          <w:tcPr>
            <w:tcW w:type="pct" w:w="66%"/>
            <w:shd w:fill="D9D9D9" w:val="clear"/>
            <w:tcMar>
              <w:top w:type="dxa" w:w="60"/>
              <w:left w:type="dxa" w:w="100"/>
              <w:bottom w:type="dxa" w:w="60"/>
              <w:right w:type="dxa" w:w="100"/>
            </w:tcMar>
          </w:tcPr>
          <w:p>
            <w:r>
              <w:rPr>
                <w:rFonts w:ascii="Calibri" w:cs="Calibri" w:eastAsia="Calibri" w:hAnsi="Calibri"/>
                <w:b/>
                <w:bCs/>
                <w:caps/>
                <w:color w:val="000000"/>
                <w:sz w:val="19"/>
                <w:szCs w:val="19"/>
              </w:rPr>
              <w:t xml:space="preserve">Terms</w:t>
            </w:r>
          </w:p>
        </w:tc>
      </w:tr>
      <w:tr>
        <w:tc>
          <w:tcPr>
            <w:tcW w:type="pct" w:w="34%"/>
            <w:shd w:fill="F2F2F2" w:val="clear"/>
            <w:tcMar>
              <w:top w:type="dxa" w:w="60"/>
              <w:left w:type="dxa" w:w="100"/>
              <w:bottom w:type="dxa" w:w="60"/>
              <w:right w:type="dxa" w:w="100"/>
            </w:tcMar>
          </w:tcPr>
          <w:p>
            <w:r>
              <w:rPr>
                <w:rFonts w:ascii="Calibri" w:cs="Calibri" w:eastAsia="Calibri" w:hAnsi="Calibri"/>
                <w:b/>
                <w:bCs/>
                <w:color w:val="000000"/>
                <w:sz w:val="19"/>
                <w:szCs w:val="19"/>
              </w:rPr>
              <w:t xml:space="preserve">Termination — Either Party</w:t>
            </w:r>
          </w:p>
        </w:tc>
        <w:tc>
          <w:tcPr>
            <w:tcW w:type="pct" w:w="66%"/>
            <w:shd w:fill="F2F2F2" w:val="clear"/>
            <w:tcMar>
              <w:top w:type="dxa" w:w="60"/>
              <w:left w:type="dxa" w:w="100"/>
              <w:bottom w:type="dxa" w:w="60"/>
              <w:right w:type="dxa" w:w="100"/>
            </w:tcMar>
          </w:tcPr>
          <w:p>
            <w:r>
              <w:rPr>
                <w:rFonts w:ascii="Calibri" w:cs="Calibri" w:eastAsia="Calibri" w:hAnsi="Calibri"/>
                <w:color w:val="000000"/>
                <w:sz w:val="19"/>
                <w:szCs w:val="19"/>
              </w:rPr>
              <w:t xml:space="preserve">30 days' written notice, for any reason</w:t>
            </w:r>
          </w:p>
        </w:tc>
      </w:tr>
      <w:tr>
        <w:tc>
          <w:tcPr>
            <w:tcW w:type="pct" w:w="34%"/>
            <w:tcMar>
              <w:top w:type="dxa" w:w="60"/>
              <w:left w:type="dxa" w:w="100"/>
              <w:bottom w:type="dxa" w:w="60"/>
              <w:right w:type="dxa" w:w="100"/>
            </w:tcMar>
          </w:tcPr>
          <w:p>
            <w:r>
              <w:rPr>
                <w:rFonts w:ascii="Calibri" w:cs="Calibri" w:eastAsia="Calibri" w:hAnsi="Calibri"/>
                <w:b/>
                <w:bCs/>
                <w:color w:val="000000"/>
                <w:sz w:val="19"/>
                <w:szCs w:val="19"/>
              </w:rPr>
              <w:t xml:space="preserve">Termination — Client Cancellation</w:t>
            </w:r>
          </w:p>
        </w:tc>
        <w:tc>
          <w:tcPr>
            <w:tcW w:type="pct" w:w="66%"/>
            <w:tcMar>
              <w:top w:type="dxa" w:w="60"/>
              <w:left w:type="dxa" w:w="100"/>
              <w:bottom w:type="dxa" w:w="60"/>
              <w:right w:type="dxa" w:w="100"/>
            </w:tcMar>
          </w:tcPr>
          <w:p>
            <w:r>
              <w:rPr>
                <w:rFonts w:ascii="Calibri" w:cs="Calibri" w:eastAsia="Calibri" w:hAnsi="Calibri"/>
                <w:color w:val="000000"/>
                <w:sz w:val="19"/>
                <w:szCs w:val="19"/>
              </w:rPr>
              <w:t xml:space="preserve">Client must give 30 days' written notice before discontinuing the Services</w:t>
            </w:r>
          </w:p>
        </w:tc>
      </w:tr>
      <w:tr>
        <w:tc>
          <w:tcPr>
            <w:tcW w:type="pct" w:w="34%"/>
            <w:shd w:fill="F2F2F2" w:val="clear"/>
            <w:tcMar>
              <w:top w:type="dxa" w:w="60"/>
              <w:left w:type="dxa" w:w="100"/>
              <w:bottom w:type="dxa" w:w="60"/>
              <w:right w:type="dxa" w:w="100"/>
            </w:tcMar>
          </w:tcPr>
          <w:p>
            <w:r>
              <w:rPr>
                <w:rFonts w:ascii="Calibri" w:cs="Calibri" w:eastAsia="Calibri" w:hAnsi="Calibri"/>
                <w:b/>
                <w:bCs/>
                <w:color w:val="000000"/>
                <w:sz w:val="19"/>
                <w:szCs w:val="19"/>
              </w:rPr>
              <w:t xml:space="preserve">Non-Payment</w:t>
            </w:r>
          </w:p>
        </w:tc>
        <w:tc>
          <w:tcPr>
            <w:tcW w:type="pct" w:w="66%"/>
            <w:shd w:fill="F2F2F2" w:val="clear"/>
            <w:tcMar>
              <w:top w:type="dxa" w:w="60"/>
              <w:left w:type="dxa" w:w="100"/>
              <w:bottom w:type="dxa" w:w="60"/>
              <w:right w:type="dxa" w:w="100"/>
            </w:tcMar>
          </w:tcPr>
          <w:p>
            <w:r>
              <w:rPr>
                <w:rFonts w:ascii="Calibri" w:cs="Calibri" w:eastAsia="Calibri" w:hAnsi="Calibri"/>
                <w:color w:val="000000"/>
                <w:sz w:val="19"/>
                <w:szCs w:val="19"/>
              </w:rPr>
              <w:t xml:space="preserve">Company may suspend access if payment is not received within the grace period; may terminate if this happens twice or more</w:t>
            </w:r>
          </w:p>
        </w:tc>
      </w:tr>
      <w:tr>
        <w:tc>
          <w:tcPr>
            <w:tcW w:type="pct" w:w="34%"/>
            <w:tcMar>
              <w:top w:type="dxa" w:w="60"/>
              <w:left w:type="dxa" w:w="100"/>
              <w:bottom w:type="dxa" w:w="60"/>
              <w:right w:type="dxa" w:w="100"/>
            </w:tcMar>
          </w:tcPr>
          <w:p>
            <w:r>
              <w:rPr>
                <w:rFonts w:ascii="Calibri" w:cs="Calibri" w:eastAsia="Calibri" w:hAnsi="Calibri"/>
                <w:b/>
                <w:bCs/>
                <w:color w:val="000000"/>
                <w:sz w:val="19"/>
                <w:szCs w:val="19"/>
              </w:rPr>
              <w:t xml:space="preserve">Refunds</w:t>
            </w:r>
          </w:p>
        </w:tc>
        <w:tc>
          <w:tcPr>
            <w:tcW w:type="pct" w:w="66%"/>
            <w:tcMar>
              <w:top w:type="dxa" w:w="60"/>
              <w:left w:type="dxa" w:w="100"/>
              <w:bottom w:type="dxa" w:w="60"/>
              <w:right w:type="dxa" w:w="100"/>
            </w:tcMar>
          </w:tcPr>
          <w:p>
            <w:r>
              <w:rPr>
                <w:rFonts w:ascii="Calibri" w:cs="Calibri" w:eastAsia="Calibri" w:hAnsi="Calibri"/>
                <w:color w:val="000000"/>
                <w:sz w:val="19"/>
                <w:szCs w:val="19"/>
              </w:rPr>
              <w:t xml:space="preserve">All fees paid are non-refundable, regardless of which Party terminates</w:t>
            </w:r>
          </w:p>
        </w:tc>
      </w:tr>
      <w:tr>
        <w:tc>
          <w:tcPr>
            <w:tcW w:type="pct" w:w="34%"/>
            <w:shd w:fill="F2F2F2" w:val="clear"/>
            <w:tcMar>
              <w:top w:type="dxa" w:w="60"/>
              <w:left w:type="dxa" w:w="100"/>
              <w:bottom w:type="dxa" w:w="60"/>
              <w:right w:type="dxa" w:w="100"/>
            </w:tcMar>
          </w:tcPr>
          <w:p>
            <w:r>
              <w:rPr>
                <w:rFonts w:ascii="Calibri" w:cs="Calibri" w:eastAsia="Calibri" w:hAnsi="Calibri"/>
                <w:b/>
                <w:bCs/>
                <w:color w:val="000000"/>
                <w:sz w:val="19"/>
                <w:szCs w:val="19"/>
              </w:rPr>
              <w:t xml:space="preserve">Source Code</w:t>
            </w:r>
          </w:p>
        </w:tc>
        <w:tc>
          <w:tcPr>
            <w:tcW w:type="pct" w:w="66%"/>
            <w:shd w:fill="F2F2F2" w:val="clear"/>
            <w:tcMar>
              <w:top w:type="dxa" w:w="60"/>
              <w:left w:type="dxa" w:w="100"/>
              <w:bottom w:type="dxa" w:w="60"/>
              <w:right w:type="dxa" w:w="100"/>
            </w:tcMar>
          </w:tcPr>
          <w:p>
            <w:r>
              <w:rPr>
                <w:rFonts w:ascii="Calibri" w:cs="Calibri" w:eastAsia="Calibri" w:hAnsi="Calibri"/>
                <w:color w:val="000000"/>
                <w:sz w:val="19"/>
                <w:szCs w:val="19"/>
              </w:rPr>
              <w:t xml:space="preserve">Not handed over to the Client at any time, including after termination</w:t>
            </w:r>
          </w:p>
        </w:tc>
      </w:tr>
      <w:tr>
        <w:tc>
          <w:tcPr>
            <w:tcW w:type="pct" w:w="34%"/>
            <w:tcMar>
              <w:top w:type="dxa" w:w="60"/>
              <w:left w:type="dxa" w:w="100"/>
              <w:bottom w:type="dxa" w:w="60"/>
              <w:right w:type="dxa" w:w="100"/>
            </w:tcMar>
          </w:tcPr>
          <w:p>
            <w:r>
              <w:rPr>
                <w:rFonts w:ascii="Calibri" w:cs="Calibri" w:eastAsia="Calibri" w:hAnsi="Calibri"/>
                <w:b/>
                <w:bCs/>
                <w:color w:val="000000"/>
                <w:sz w:val="19"/>
                <w:szCs w:val="19"/>
              </w:rPr>
              <w:t xml:space="preserve">Client Data</w:t>
            </w:r>
          </w:p>
        </w:tc>
        <w:tc>
          <w:tcPr>
            <w:tcW w:type="pct" w:w="66%"/>
            <w:tcMar>
              <w:top w:type="dxa" w:w="60"/>
              <w:left w:type="dxa" w:w="100"/>
              <w:bottom w:type="dxa" w:w="60"/>
              <w:right w:type="dxa" w:w="100"/>
            </w:tcMar>
          </w:tcPr>
          <w:p>
            <w:r>
              <w:rPr>
                <w:rFonts w:ascii="Calibri" w:cs="Calibri" w:eastAsia="Calibri" w:hAnsi="Calibri"/>
                <w:color w:val="000000"/>
                <w:sz w:val="19"/>
                <w:szCs w:val="19"/>
              </w:rPr>
              <w:t xml:space="preserve">Client's own documents and data are returned after completion of the Agreement and conclusion of hosting</w:t>
            </w:r>
          </w:p>
        </w:tc>
      </w:tr>
      <w:tr>
        <w:tc>
          <w:tcPr>
            <w:tcW w:type="pct" w:w="34%"/>
            <w:shd w:fill="F2F2F2" w:val="clear"/>
            <w:tcMar>
              <w:top w:type="dxa" w:w="60"/>
              <w:left w:type="dxa" w:w="100"/>
              <w:bottom w:type="dxa" w:w="60"/>
              <w:right w:type="dxa" w:w="100"/>
            </w:tcMar>
          </w:tcPr>
          <w:p>
            <w:r>
              <w:rPr>
                <w:rFonts w:ascii="Calibri" w:cs="Calibri" w:eastAsia="Calibri" w:hAnsi="Calibri"/>
                <w:b/>
                <w:bCs/>
                <w:color w:val="000000"/>
                <w:sz w:val="19"/>
                <w:szCs w:val="19"/>
              </w:rPr>
              <w:t xml:space="preserve">Confidentiality</w:t>
            </w:r>
          </w:p>
        </w:tc>
        <w:tc>
          <w:tcPr>
            <w:tcW w:type="pct" w:w="66%"/>
            <w:shd w:fill="F2F2F2" w:val="clear"/>
            <w:tcMar>
              <w:top w:type="dxa" w:w="60"/>
              <w:left w:type="dxa" w:w="100"/>
              <w:bottom w:type="dxa" w:w="60"/>
              <w:right w:type="dxa" w:w="100"/>
            </w:tcMar>
          </w:tcPr>
          <w:p>
            <w:r>
              <w:rPr>
                <w:rFonts w:ascii="Calibri" w:cs="Calibri" w:eastAsia="Calibri" w:hAnsi="Calibri"/>
                <w:color w:val="000000"/>
                <w:sz w:val="19"/>
                <w:szCs w:val="19"/>
              </w:rPr>
              <w:t xml:space="preserve">Both Parties keep non-public information confidential and do not disclose it to third parties</w:t>
            </w:r>
          </w:p>
        </w:tc>
      </w:tr>
      <w:tr>
        <w:tc>
          <w:tcPr>
            <w:tcW w:type="pct" w:w="34%"/>
            <w:tcMar>
              <w:top w:type="dxa" w:w="60"/>
              <w:left w:type="dxa" w:w="100"/>
              <w:bottom w:type="dxa" w:w="60"/>
              <w:right w:type="dxa" w:w="100"/>
            </w:tcMar>
          </w:tcPr>
          <w:p>
            <w:r>
              <w:rPr>
                <w:rFonts w:ascii="Calibri" w:cs="Calibri" w:eastAsia="Calibri" w:hAnsi="Calibri"/>
                <w:b/>
                <w:bCs/>
                <w:color w:val="000000"/>
                <w:sz w:val="19"/>
                <w:szCs w:val="19"/>
              </w:rPr>
              <w:t xml:space="preserve">Liability</w:t>
            </w:r>
          </w:p>
        </w:tc>
        <w:tc>
          <w:tcPr>
            <w:tcW w:type="pct" w:w="66%"/>
            <w:tcMar>
              <w:top w:type="dxa" w:w="60"/>
              <w:left w:type="dxa" w:w="100"/>
              <w:bottom w:type="dxa" w:w="60"/>
              <w:right w:type="dxa" w:w="100"/>
            </w:tcMar>
          </w:tcPr>
          <w:p>
            <w:r>
              <w:rPr>
                <w:rFonts w:ascii="Calibri" w:cs="Calibri" w:eastAsia="Calibri" w:hAnsi="Calibri"/>
                <w:color w:val="000000"/>
                <w:sz w:val="19"/>
                <w:szCs w:val="19"/>
              </w:rPr>
              <w:t xml:space="preserve">Limited to fees paid in the preceding 3 months; no liability for indirect or consequential damages</w:t>
            </w:r>
          </w:p>
        </w:tc>
      </w:tr>
      <w:tr>
        <w:tc>
          <w:tcPr>
            <w:tcW w:type="pct" w:w="34%"/>
            <w:shd w:fill="F2F2F2" w:val="clear"/>
            <w:tcMar>
              <w:top w:type="dxa" w:w="60"/>
              <w:left w:type="dxa" w:w="100"/>
              <w:bottom w:type="dxa" w:w="60"/>
              <w:right w:type="dxa" w:w="100"/>
            </w:tcMar>
          </w:tcPr>
          <w:p>
            <w:r>
              <w:rPr>
                <w:rFonts w:ascii="Calibri" w:cs="Calibri" w:eastAsia="Calibri" w:hAnsi="Calibri"/>
                <w:b/>
                <w:bCs/>
                <w:color w:val="000000"/>
                <w:sz w:val="19"/>
                <w:szCs w:val="19"/>
              </w:rPr>
              <w:t xml:space="preserve">Governing Law</w:t>
            </w:r>
          </w:p>
        </w:tc>
        <w:tc>
          <w:tcPr>
            <w:tcW w:type="pct" w:w="66%"/>
            <w:shd w:fill="F2F2F2" w:val="clear"/>
            <w:tcMar>
              <w:top w:type="dxa" w:w="60"/>
              <w:left w:type="dxa" w:w="100"/>
              <w:bottom w:type="dxa" w:w="60"/>
              <w:right w:type="dxa" w:w="100"/>
            </w:tcMar>
          </w:tcPr>
          <w:p>
            <w:r>
              <w:rPr>
                <w:rFonts w:ascii="Calibri" w:cs="Calibri" w:eastAsia="Calibri" w:hAnsi="Calibri"/>
                <w:color w:val="000000"/>
                <w:sz w:val="19"/>
                <w:szCs w:val="19"/>
              </w:rPr>
              <w:t xml:space="preserve">United Arab Emirates</w:t>
            </w:r>
          </w:p>
        </w:tc>
      </w:tr>
    </w:tbl>
    <w:p>
      <w:pPr>
        <w:pBdr>
          <w:bottom w:val="single" w:color="000000" w:sz="6" w:space="3"/>
        </w:pBdr>
        <w:spacing w:after="90" w:before="220"/>
      </w:pPr>
      <w:r>
        <w:rPr>
          <w:rFonts w:ascii="Calibri" w:cs="Calibri" w:eastAsia="Calibri" w:hAnsi="Calibri"/>
          <w:b/>
          <w:bCs/>
          <w:caps/>
          <w:color w:val="000000"/>
          <w:sz w:val="22"/>
          <w:szCs w:val="22"/>
        </w:rPr>
        <w:t xml:space="preserve">Signatures</w:t>
      </w:r>
    </w:p>
    <w:p>
      <w:pPr>
        <w:spacing w:after="120" w:line="246"/>
        <w:jc w:val="both"/>
      </w:pPr>
      <w:r>
        <w:rPr>
          <w:rFonts w:ascii="Calibri" w:cs="Calibri" w:eastAsia="Calibri" w:hAnsi="Calibri"/>
          <w:color w:val="000000"/>
          <w:sz w:val="20"/>
          <w:szCs w:val="20"/>
        </w:rPr>
        <w:t xml:space="preserve">IN WITNESS WHEREOF, the Parties have executed this Agreement as of the Effective Date stated above.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4806"/>
        <w:gridCol w:w="4806"/>
      </w:tblGrid>
      <w:tr>
        <w:tc>
          <w:tcPr>
            <w:tcW w:type="pct" w:w="50%"/>
            <w:tcMar>
              <w:top w:type="dxa" w:w="160"/>
              <w:left w:type="dxa" w:w="140"/>
              <w:bottom w:type="dxa" w:w="160"/>
              <w:right w:type="dxa" w:w="140"/>
            </w:tcMar>
          </w:tcPr>
          <w:p>
            <w:pPr>
              <w:spacing w:after="300"/>
            </w:pPr>
            <w:r>
              <w:rPr>
                <w:rFonts w:ascii="Calibri" w:cs="Calibri" w:eastAsia="Calibri" w:hAnsi="Calibri"/>
                <w:b/>
                <w:bCs/>
                <w:color w:val="000000"/>
                <w:sz w:val="19"/>
                <w:szCs w:val="19"/>
              </w:rPr>
              <w:t xml:space="preserve">For and on behalf of Kynvera</w:t>
            </w:r>
          </w:p>
          <w:p>
            <w:pPr>
              <w:spacing w:after="160"/>
            </w:pPr>
            <w:r>
              <w:rPr>
                <w:rFonts w:ascii="Calibri" w:cs="Calibri" w:eastAsia="Calibri" w:hAnsi="Calibri"/>
                <w:color w:val="595959"/>
                <w:sz w:val="18"/>
                <w:szCs w:val="18"/>
              </w:rPr>
              <w:t xml:space="preserve">Name:</w:t>
            </w:r>
          </w:p>
          <w:p>
            <w:pPr>
              <w:spacing w:after="160"/>
            </w:pPr>
            <w:r>
              <w:rPr>
                <w:rFonts w:ascii="Calibri" w:cs="Calibri" w:eastAsia="Calibri" w:hAnsi="Calibri"/>
                <w:color w:val="595959"/>
                <w:sz w:val="18"/>
                <w:szCs w:val="18"/>
              </w:rPr>
              <w:t xml:space="preserve">Title:</w:t>
            </w:r>
          </w:p>
          <w:p>
            <w:pPr>
              <w:spacing w:after="160"/>
            </w:pPr>
            <w:r>
              <w:rPr>
                <w:rFonts w:ascii="Calibri" w:cs="Calibri" w:eastAsia="Calibri" w:hAnsi="Calibri"/>
                <w:color w:val="595959"/>
                <w:sz w:val="18"/>
                <w:szCs w:val="18"/>
              </w:rPr>
              <w:t xml:space="preserve">Signature:</w:t>
            </w:r>
          </w:p>
          <w:p>
            <w:pPr>
              <w:spacing w:after="60"/>
            </w:pPr>
            <w:r>
              <w:rPr>
                <w:rFonts w:ascii="Calibri" w:cs="Calibri" w:eastAsia="Calibri" w:hAnsi="Calibri"/>
                <w:color w:val="595959"/>
                <w:sz w:val="18"/>
                <w:szCs w:val="18"/>
              </w:rPr>
              <w:t xml:space="preserve">Date:</w:t>
            </w:r>
          </w:p>
        </w:tc>
        <w:tc>
          <w:tcPr>
            <w:tcW w:type="pct" w:w="50%"/>
            <w:tcMar>
              <w:top w:type="dxa" w:w="160"/>
              <w:left w:type="dxa" w:w="140"/>
              <w:bottom w:type="dxa" w:w="160"/>
              <w:right w:type="dxa" w:w="140"/>
            </w:tcMar>
          </w:tcPr>
          <w:p>
            <w:pPr>
              <w:spacing w:after="300"/>
            </w:pPr>
            <w:r>
              <w:rPr>
                <w:rFonts w:ascii="Calibri" w:cs="Calibri" w:eastAsia="Calibri" w:hAnsi="Calibri"/>
                <w:b/>
                <w:bCs/>
                <w:color w:val="000000"/>
                <w:sz w:val="19"/>
                <w:szCs w:val="19"/>
              </w:rPr>
              <w:t xml:space="preserve">For and on behalf of [Client Name]</w:t>
            </w:r>
          </w:p>
          <w:p>
            <w:pPr>
              <w:spacing w:after="160"/>
            </w:pPr>
            <w:r>
              <w:rPr>
                <w:rFonts w:ascii="Calibri" w:cs="Calibri" w:eastAsia="Calibri" w:hAnsi="Calibri"/>
                <w:color w:val="595959"/>
                <w:sz w:val="18"/>
                <w:szCs w:val="18"/>
              </w:rPr>
              <w:t xml:space="preserve">Name:</w:t>
            </w:r>
          </w:p>
          <w:p>
            <w:pPr>
              <w:spacing w:after="160"/>
            </w:pPr>
            <w:r>
              <w:rPr>
                <w:rFonts w:ascii="Calibri" w:cs="Calibri" w:eastAsia="Calibri" w:hAnsi="Calibri"/>
                <w:color w:val="595959"/>
                <w:sz w:val="18"/>
                <w:szCs w:val="18"/>
              </w:rPr>
              <w:t xml:space="preserve">Title:</w:t>
            </w:r>
          </w:p>
          <w:p>
            <w:pPr>
              <w:spacing w:after="160"/>
            </w:pPr>
            <w:r>
              <w:rPr>
                <w:rFonts w:ascii="Calibri" w:cs="Calibri" w:eastAsia="Calibri" w:hAnsi="Calibri"/>
                <w:color w:val="595959"/>
                <w:sz w:val="18"/>
                <w:szCs w:val="18"/>
              </w:rPr>
              <w:t xml:space="preserve">Signature:</w:t>
            </w:r>
          </w:p>
          <w:p>
            <w:pPr>
              <w:spacing w:after="60"/>
            </w:pPr>
            <w:r>
              <w:rPr>
                <w:rFonts w:ascii="Calibri" w:cs="Calibri" w:eastAsia="Calibri" w:hAnsi="Calibri"/>
                <w:color w:val="595959"/>
                <w:sz w:val="18"/>
                <w:szCs w:val="18"/>
              </w:rPr>
              <w:t xml:space="preserve">Date:</w:t>
            </w:r>
          </w:p>
        </w:tc>
      </w:tr>
    </w:tbl>
    <w:sectPr>
      <w:headerReference w:type="default" r:id="rId7"/>
      <w:footerReference w:type="default" r:id="rId8"/>
      <w:pgSz w:w="11906" w:h="16838" w:orient="portrait"/>
      <w:pgMar w:top="11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spacing w:before="40"/>
    </w:pPr>
    <w:r>
      <w:rPr>
        <w:rFonts w:ascii="Calibri" w:cs="Calibri" w:eastAsia="Calibri" w:hAnsi="Calibri"/>
        <w:color w:val="595959"/>
        <w:sz w:val="15"/>
        <w:szCs w:val="15"/>
      </w:rPr>
      <w:t xml:space="preserve">Kynvera — Service Agreement</w:t>
    </w:r>
    <w:r>
      <w:rPr>
        <w:rFonts w:ascii="Calibri" w:cs="Calibri" w:eastAsia="Calibri" w:hAnsi="Calibri"/>
        <w:sz w:val="15"/>
        <w:szCs w:val="15"/>
      </w:rPr>
      <w:t xml:space="preserve">	</w:t>
    </w: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6000"/>
      <w:gridCol w:w="3612"/>
    </w:tblGrid>
    <w:tr>
      <w:tc>
        <w:tcPr>
          <w:tcW w:type="pct" w:w="62%"/>
          <w:vAlign w:val="center"/>
        </w:tcPr>
        <w:p>
          <w:r>
            <w:rPr>
              <w:rFonts w:ascii="Calibri" w:cs="Calibri" w:eastAsia="Calibri" w:hAnsi="Calibri"/>
              <w:b/>
              <w:bCs/>
              <w:color w:val="595959"/>
              <w:sz w:val="15"/>
              <w:szCs w:val="15"/>
            </w:rPr>
            <w:t xml:space="preserve">SERVICE AGREEMENT — TERMS &amp; CONDITIONS</w:t>
          </w:r>
        </w:p>
      </w:tc>
      <w:tc>
        <w:tcPr>
          <w:tcW w:type="pct" w:w="38%"/>
          <w:vAlign w:val="center"/>
        </w:tcPr>
        <w:p>
          <w:r>
            <w:rPr>
              <w:sz w:val="2"/>
              <w:szCs w:val="2"/>
            </w:rPr>
            <w:t xml:space="preserve"/>
          </w:r>
        </w:p>
      </w:tc>
    </w:tr>
  </w:tbl>
  <w:p>
    <w:pPr>
      <w:pBdr>
        <w:bottom w:val="single" w:color="000000" w:sz="6" w:space="1"/>
      </w:pBdr>
      <w:spacing w:after="0"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2026-07-19T08:17:13.608Z</dcterms:created>
  <dcterms:modified xsi:type="dcterms:W3CDTF">2026-07-19T08:17:13.612Z</dcterms:modified>
</cp:coreProperties>
</file>

<file path=docProps/custom.xml><?xml version="1.0" encoding="utf-8"?>
<Properties xmlns="http://schemas.openxmlformats.org/officeDocument/2006/custom-properties" xmlns:vt="http://schemas.openxmlformats.org/officeDocument/2006/docPropsVTypes"/>
</file>