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INJ-0042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  <w:tr>
        <w:tc>
          <w:tcPr>
            <w:tcW w:type="dxa" w:w="5490"/>
          </w:tcPr>
          <w:p>
            <w:r>
              <w:t>Company:</w:t>
            </w:r>
          </w:p>
        </w:tc>
        <w:tc>
          <w:tcPr>
            <w:tcW w:type="dxa" w:w="5358"/>
          </w:tcPr>
          <w:p>
            <w:r>
              <w:t xml:space="preserve">INJAAZ LLC</w:t>
            </w: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umexu3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5490"/>
          </w:tcPr>
          <w:p>
            <w:r>
              <w:t>Leave Ended:</w:t>
            </w:r>
          </w:p>
        </w:tc>
        <w:tc>
          <w:tcPr>
            <w:tcW w:type="dxa" w:w="5358"/>
          </w:tcPr>
          <w:p>
            <w:r>
              <w:t xml:space="preserve">09/03/2026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  <w:r>
              <w:t xml:space="preserve"/>
            </w: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/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umexu3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umexu3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