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2D7E" w:rsidRDefault="00922D7E" w:rsidP="004B380C">
      <w:pPr>
        <w:rPr>
          <w:b/>
          <w:bCs/>
          <w:sz w:val="36"/>
          <w:u w:val="single"/>
        </w:rPr>
      </w:pPr>
    </w:p>
    <w:p w:rsidR="000D5035" w:rsidRPr="006A78CF" w:rsidRDefault="00D8404C" w:rsidP="00D8404C">
      <w:pPr>
        <w:rPr>
          <w:b/>
          <w:bCs/>
          <w:sz w:val="36"/>
          <w:u w:val="single"/>
        </w:rPr>
      </w:pPr>
      <w:r>
        <w:rPr>
          <w:b/>
          <w:bCs/>
          <w:sz w:val="36"/>
        </w:rPr>
        <w:t xml:space="preserve">                           </w:t>
      </w:r>
      <w:r w:rsidR="000D5035">
        <w:rPr>
          <w:b/>
          <w:bCs/>
          <w:sz w:val="36"/>
          <w:u w:val="single"/>
        </w:rPr>
        <w:t>Station Clearance</w:t>
      </w:r>
      <w:r w:rsidR="000D5035" w:rsidRPr="006A78CF">
        <w:rPr>
          <w:b/>
          <w:bCs/>
          <w:sz w:val="36"/>
          <w:u w:val="single"/>
        </w:rPr>
        <w:t xml:space="preserve"> Form</w:t>
      </w:r>
    </w:p>
    <w:p w:rsidR="000D5035" w:rsidRDefault="000D5035" w:rsidP="000D5035">
      <w:pPr>
        <w:jc w:val="both"/>
        <w:rPr>
          <w:bCs/>
          <w:color w:val="FF0000"/>
        </w:rPr>
      </w:pPr>
    </w:p>
    <w:p w:rsidR="000D5035" w:rsidRPr="00C87280" w:rsidRDefault="00C87280" w:rsidP="00C87280">
      <w:pPr>
        <w:ind w:left="-900"/>
        <w:jc w:val="both"/>
        <w:rPr>
          <w:bCs/>
          <w:color w:val="0070C0"/>
          <w:sz w:val="22"/>
          <w:szCs w:val="22"/>
        </w:rPr>
      </w:pPr>
      <w:r>
        <w:rPr>
          <w:bCs/>
          <w:color w:val="0070C0"/>
          <w:sz w:val="22"/>
          <w:szCs w:val="22"/>
        </w:rPr>
        <w:t xml:space="preserve">    </w:t>
      </w:r>
      <w:r w:rsidR="000D5035" w:rsidRPr="00C87280">
        <w:rPr>
          <w:bCs/>
          <w:color w:val="0070C0"/>
          <w:sz w:val="22"/>
          <w:szCs w:val="22"/>
        </w:rPr>
        <w:t>The following departments must ensure that all exit formalities have been conducted for transferring employees.</w:t>
      </w:r>
    </w:p>
    <w:p w:rsidR="000D5035" w:rsidRPr="00EF7F6E" w:rsidRDefault="000D5035" w:rsidP="000D5035">
      <w:pPr>
        <w:jc w:val="both"/>
        <w:rPr>
          <w:bCs/>
        </w:rPr>
      </w:pPr>
    </w:p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09/04/2025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D5035" w:rsidRDefault="000D5035" w:rsidP="002F5A84">
            <w:pPr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0D5035" w:rsidRPr="00871073" w:rsidRDefault="000D5035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>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Default="00914697" w:rsidP="008B09DB">
            <w:pPr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>
            <w:r>
              <w:t xml:space="preserve">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86F20" w:rsidRDefault="00914697" w:rsidP="000D5035">
            <w:pPr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871073" w:rsidRDefault="00914697" w:rsidP="00922D7E">
            <w:pPr>
              <w:jc w:val="center"/>
              <w:rPr>
                <w:b/>
                <w:sz w:val="20"/>
                <w:szCs w:val="20"/>
              </w:rPr>
            </w:pPr>
            <w:r w:rsidRPr="00871073">
              <w:rPr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2D7E" w:rsidRPr="00C87280" w:rsidRDefault="00922D7E" w:rsidP="00922D7E">
            <w:pPr>
              <w:jc w:val="center"/>
              <w:rPr>
                <w:b/>
                <w:sz w:val="20"/>
                <w:szCs w:val="20"/>
              </w:rPr>
            </w:pPr>
            <w:r w:rsidRPr="00C87280">
              <w:rPr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completed / </w:t>
            </w:r>
            <w:r>
              <w:rPr>
                <w:bCs/>
                <w:sz w:val="20"/>
                <w:szCs w:val="20"/>
              </w:rPr>
              <w:t xml:space="preserve">handed </w:t>
            </w:r>
            <w:r w:rsidRPr="00871073">
              <w:rPr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625649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Has hand</w:t>
            </w:r>
            <w:r w:rsidRPr="00871073">
              <w:rPr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D7E" w:rsidRPr="00871073" w:rsidRDefault="00914697" w:rsidP="00497DC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</w:t>
            </w:r>
            <w:r w:rsidR="00922D7E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697" w:rsidRPr="00871073" w:rsidRDefault="00914697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 w:rsidRPr="00871073">
              <w:rPr>
                <w:bCs/>
                <w:sz w:val="20"/>
                <w:szCs w:val="20"/>
              </w:rPr>
              <w:t>Others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Payment of</w:t>
            </w:r>
            <w:r w:rsidRPr="00871073">
              <w:rPr>
                <w:bCs/>
                <w:sz w:val="20"/>
                <w:szCs w:val="20"/>
              </w:rPr>
              <w:t xml:space="preserve"> outstanding </w:t>
            </w:r>
            <w:r>
              <w:rPr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497DC5">
            <w:pPr>
              <w:spacing w:line="276" w:lineRule="auto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C8728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0D5035">
            <w:pPr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Pr="00871073" w:rsidRDefault="00C87280" w:rsidP="00922D7E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497DC5">
            <w:pPr>
              <w:spacing w:line="276" w:lineRule="auto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87280" w:rsidRDefault="00C87280" w:rsidP="000D5035"/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kkvaar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mkkvaar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BF0DCA" w:rsidRPr="00497DC5" w:rsidRDefault="00C87280" w:rsidP="00497DC5">
      <w:pPr>
        <w:pStyle w:val="BodyText"/>
        <w:ind w:right="119"/>
        <w:rPr>
          <w:b/>
          <w:bCs/>
          <w:color w:val="7F7F7F" w:themeColor="text1" w:themeTint="80"/>
          <w:sz w:val="18"/>
          <w:szCs w:val="18"/>
          <w:lang w:val="en-GB"/>
        </w:rPr>
      </w:pPr>
      <w:r w:rsidRPr="00C87280">
        <w:rPr>
          <w:rFonts w:ascii="Arial"/>
          <w:b/>
          <w:color w:val="7F7F7F" w:themeColor="text1" w:themeTint="80"/>
          <w:sz w:val="18"/>
          <w:szCs w:val="18"/>
        </w:rPr>
        <w:t xml:space="preserve">                   </w:t>
      </w:r>
    </w:p>
    <w:sectPr w:rsidR="00BF0DCA" w:rsidRPr="00497DC5" w:rsidSect="00497DC5">
      <w:headerReference w:type="default" r:id="rId7"/>
      <w:footerReference w:type="default" r:id="rId8"/>
      <w:pgSz w:w="11906" w:h="16838"/>
      <w:pgMar w:top="1440" w:right="656" w:bottom="1440" w:left="180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