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P3"/>
        <w:spacing w:after="120"/>
        <w:jc w:val="center"/>
      </w:pPr>
      <w:r>
        <w:rPr>
          <w:rFonts w:ascii="Times New Roman" w:hAnsi="Times New Roman"/>
          <w:b/>
          <w:sz w:val="28"/>
        </w:rPr>
        <w:t>Taslamanyň ykdysady netijeliliginiň hasaplamasy</w:t>
      </w:r>
    </w:p>
    <w:p>
      <w:pPr>
        <w:pStyle w:val="P4"/>
        <w:spacing w:after="120"/>
        <w:jc w:val="left"/>
      </w:pPr>
      <w:r>
        <w:rPr>
          <w:rFonts w:ascii="Times New Roman" w:hAnsi="Times New Roman"/>
          <w:b/>
          <w:sz w:val="26"/>
        </w:rPr>
        <w:t>Maýa goýum taslamalarynyň netijeliligini bahalandyrmagyň esasy ýörelgeleri</w:t>
      </w:r>
    </w:p>
    <w:p>
      <w:pPr>
        <w:spacing w:after="80" w:line="276" w:lineRule="auto"/>
        <w:ind w:firstLine="560"/>
        <w:jc w:val="both"/>
      </w:pPr>
      <w:r>
        <w:rPr>
          <w:rFonts w:ascii="Times New Roman" w:hAnsi="Times New Roman"/>
          <w:b w:val="0"/>
          <w:sz w:val="24"/>
        </w:rPr>
        <w:t>Islendik programma üpjünçiligi taslamasynyň ykdysady taýdan esaslydygyny görkezmek üçin onuň döredilmegine sarp edilýän serişdeler we taslamadan alynýan peýda deňeşdirilýär. Bu bölümde IoT Security Scanner programma toplumyny işläp taýýarlamagyň çykdajylary, zähmet talap edişi, tehniki serişdeler we programma arkaly tygşytlanýan iş wagty hasaplanylýar.</w:t>
      </w:r>
    </w:p>
    <w:p>
      <w:pPr>
        <w:spacing w:after="80" w:line="276" w:lineRule="auto"/>
        <w:ind w:firstLine="560"/>
        <w:jc w:val="both"/>
      </w:pPr>
      <w:r>
        <w:rPr>
          <w:rFonts w:ascii="Times New Roman" w:hAnsi="Times New Roman"/>
          <w:b w:val="0"/>
          <w:sz w:val="24"/>
        </w:rPr>
        <w:t>Taslamanyň ykdysady netijeliligi diňe göni girdeji bilen ölçenmeýär. Maglumat howpsuzlygy ulgamlarynda wagty tygşytlamak, tor barlagyny standartlaşdyrmak, hasabat taýýarlamagy çaltlandyrmak we howpsuzlyk töwekgelçiliklerini ir ýüze çykarmak hem ykdysady peýda hökmünde bahalandyrylýar.</w:t>
      </w:r>
    </w:p>
    <w:p>
      <w:pPr>
        <w:spacing w:after="80" w:line="276" w:lineRule="auto"/>
        <w:ind w:firstLine="560"/>
        <w:jc w:val="both"/>
      </w:pPr>
      <w:r>
        <w:rPr>
          <w:rFonts w:ascii="Times New Roman" w:hAnsi="Times New Roman"/>
          <w:b w:val="0"/>
          <w:sz w:val="24"/>
        </w:rPr>
        <w:t>IoT Security Scanner lokal Wi-Fi ýa-da Ethernet torundaky enjamlary tapýar, açyk portlary kesgitleýär, töwekgelçilik derejesini görkezýär we PDF görnüşli hasabat taýýarlaýar. Şeýlelikde, programma tor administratorynyň el bilen ýerine ýetirýän gaýtalanýan işlerini azaldýar.</w:t>
      </w:r>
    </w:p>
    <w:p>
      <w:pPr>
        <w:spacing w:after="80" w:line="276" w:lineRule="auto"/>
        <w:ind w:firstLine="560"/>
        <w:jc w:val="both"/>
      </w:pPr>
      <w:r>
        <w:rPr>
          <w:rFonts w:ascii="Times New Roman" w:hAnsi="Times New Roman"/>
          <w:b w:val="0"/>
          <w:sz w:val="24"/>
        </w:rPr>
        <w:t>Netijeliligi bahalandyrmakda aşakdaky ýörelgeler göz öňünde tutulýar:</w:t>
      </w:r>
    </w:p>
    <w:p>
      <w:pPr>
        <w:spacing w:after="80" w:line="276" w:lineRule="auto"/>
        <w:ind w:firstLine="560"/>
        <w:jc w:val="both"/>
      </w:pPr>
      <w:r>
        <w:rPr>
          <w:rFonts w:ascii="Times New Roman" w:hAnsi="Times New Roman"/>
          <w:b w:val="0"/>
          <w:sz w:val="24"/>
        </w:rPr>
        <w:t>taslamanyň ähli çykdajylaryny doly hasaba almak;</w:t>
      </w:r>
    </w:p>
    <w:p>
      <w:pPr>
        <w:spacing w:after="80" w:line="276" w:lineRule="auto"/>
        <w:ind w:firstLine="560"/>
        <w:jc w:val="both"/>
      </w:pPr>
      <w:r>
        <w:rPr>
          <w:rFonts w:ascii="Times New Roman" w:hAnsi="Times New Roman"/>
          <w:b w:val="0"/>
          <w:sz w:val="24"/>
        </w:rPr>
        <w:t>el bilen audit we programma arkaly audit ýagdaýlaryny deňeşdirmek;</w:t>
      </w:r>
    </w:p>
    <w:p>
      <w:pPr>
        <w:spacing w:after="80" w:line="276" w:lineRule="auto"/>
        <w:ind w:firstLine="560"/>
        <w:jc w:val="both"/>
      </w:pPr>
      <w:r>
        <w:rPr>
          <w:rFonts w:ascii="Times New Roman" w:hAnsi="Times New Roman"/>
          <w:b w:val="0"/>
          <w:sz w:val="24"/>
        </w:rPr>
        <w:t>açyk çeşmeli tehnologiýalaryň çykdajylary azaltmakdaky ornuny görkezmek;</w:t>
      </w:r>
    </w:p>
    <w:p>
      <w:pPr>
        <w:spacing w:after="80" w:line="276" w:lineRule="auto"/>
        <w:ind w:firstLine="560"/>
        <w:jc w:val="both"/>
      </w:pPr>
      <w:r>
        <w:rPr>
          <w:rFonts w:ascii="Times New Roman" w:hAnsi="Times New Roman"/>
          <w:b w:val="0"/>
          <w:sz w:val="24"/>
        </w:rPr>
        <w:t>wagt faktoryny we işgärleriň zähmet hakyny hasaba almak;</w:t>
      </w:r>
    </w:p>
    <w:p>
      <w:pPr>
        <w:spacing w:after="80" w:line="276" w:lineRule="auto"/>
        <w:ind w:firstLine="560"/>
        <w:jc w:val="both"/>
      </w:pPr>
      <w:r>
        <w:rPr>
          <w:rFonts w:ascii="Times New Roman" w:hAnsi="Times New Roman"/>
          <w:b w:val="0"/>
          <w:sz w:val="24"/>
        </w:rPr>
        <w:t>taslamanyň töwekgelçiliklerini we çäklendirmelerini görkezmek.</w:t>
      </w:r>
    </w:p>
    <w:p>
      <w:pPr>
        <w:pStyle w:val="P4"/>
        <w:spacing w:after="120"/>
        <w:jc w:val="left"/>
      </w:pPr>
      <w:r>
        <w:rPr>
          <w:rFonts w:ascii="Times New Roman" w:hAnsi="Times New Roman"/>
          <w:b/>
          <w:sz w:val="26"/>
        </w:rPr>
        <w:t>Taslamanyň netijeliligini hasaplamak üçin başlangyç maglumatlar</w:t>
      </w:r>
    </w:p>
    <w:p>
      <w:pPr>
        <w:spacing w:after="80" w:line="276" w:lineRule="auto"/>
        <w:ind w:firstLine="560"/>
        <w:jc w:val="both"/>
      </w:pPr>
      <w:r>
        <w:rPr>
          <w:rFonts w:ascii="Times New Roman" w:hAnsi="Times New Roman"/>
          <w:b w:val="0"/>
          <w:sz w:val="24"/>
        </w:rPr>
        <w:t>Hasaplamalar üçin başlangyç maglumatlar hökmünde programma toplumyny işläp taýýarlamaga gatnaşýan işgärleriň sany, olaryň sagatlaýyn tölegi, iş üçin sarp edilýän wagt, tehniki serişdeleriň bahasy we programma ulanylanda tygşytlanýan audit wagty kabul edildi.</w:t>
      </w:r>
    </w:p>
    <w:p>
      <w:pPr>
        <w:spacing w:after="80" w:line="276" w:lineRule="auto"/>
        <w:ind w:firstLine="560"/>
        <w:jc w:val="both"/>
      </w:pPr>
      <w:r>
        <w:rPr>
          <w:rFonts w:ascii="Times New Roman" w:hAnsi="Times New Roman"/>
          <w:b w:val="0"/>
          <w:sz w:val="24"/>
        </w:rPr>
        <w:t>Programma Python dilinde işlenip taýýarlanylýar. Grafiki interfeýs üçin PyQt6, maglumatlary saklamak üçin SQLite, tor skanirlemesi üçin Nmap, hasabat taýýarlamak üçin ReportLab we Matplotlib serişdeleri ulanylýar. Bu tehnologiýalaryň esasy bölegi açyk çeşmeli bolany üçin lisenziýa çykdajylary pes derejede saklanýar.</w:t>
      </w:r>
    </w:p>
    <w:p>
      <w:pPr>
        <w:spacing w:after="80" w:line="276" w:lineRule="auto"/>
        <w:ind w:firstLine="560"/>
        <w:jc w:val="both"/>
      </w:pPr>
      <w:r>
        <w:rPr>
          <w:rFonts w:ascii="Times New Roman" w:hAnsi="Times New Roman"/>
          <w:b w:val="0"/>
          <w:sz w:val="24"/>
        </w:rPr>
        <w:t>Ykdysady hasaplamalarda bir lokal toruň el bilen barlagy ortaça 5 sagat, programma arkaly barlagy we hasabat taýýarlamak bolsa 1,25 sagat diýip kabul edildi. Bir ýylda 50 gezek audit geçirilende programma arkaly tygşytlanýan wagt ýyllyk ykdysady netijäniň esasy çeşmesi bolýar.</w:t>
      </w:r>
    </w:p>
    <w:p>
      <w:pPr>
        <w:pStyle w:val="P4"/>
        <w:spacing w:after="120"/>
        <w:jc w:val="left"/>
      </w:pPr>
      <w:r>
        <w:rPr>
          <w:rFonts w:ascii="Times New Roman" w:hAnsi="Times New Roman"/>
          <w:b/>
          <w:sz w:val="26"/>
        </w:rPr>
        <w:t>Kompauting we diskontirleme prosesleriniň mazmuny</w:t>
      </w:r>
    </w:p>
    <w:p>
      <w:pPr>
        <w:spacing w:after="80" w:line="276" w:lineRule="auto"/>
        <w:ind w:firstLine="560"/>
        <w:jc w:val="both"/>
      </w:pPr>
      <w:r>
        <w:rPr>
          <w:rFonts w:ascii="Times New Roman" w:hAnsi="Times New Roman"/>
          <w:b w:val="0"/>
          <w:sz w:val="24"/>
        </w:rPr>
        <w:t>Maýa goýum taslamalarynda puluň wagt boýunça gymmaty hasaba alynmalydyr. Häzirki wagtda edilýän çykdajynyň geljekki gymmaty ýa-da geljekde alynjak girdejiniň häzirki gymmaty kompauting we diskontirleme formulalary arkaly kesgitlenýär.</w:t>
      </w:r>
    </w:p>
    <w:p>
      <w:pPr>
        <w:spacing w:after="80"/>
        <w:ind w:firstLine="0"/>
        <w:jc w:val="center"/>
      </w:pPr>
      <w:r>
        <w:rPr>
          <w:rFonts w:ascii="Times New Roman" w:hAnsi="Times New Roman"/>
          <w:b w:val="0"/>
          <w:sz w:val="24"/>
        </w:rPr>
        <w:t>1000 × (1 + 0,3) = 1300 manat</w:t>
      </w:r>
    </w:p>
    <w:p>
      <w:pPr>
        <w:spacing w:after="80"/>
        <w:ind w:firstLine="0"/>
        <w:jc w:val="center"/>
      </w:pPr>
      <w:r>
        <w:rPr>
          <w:rFonts w:ascii="Times New Roman" w:hAnsi="Times New Roman"/>
          <w:b w:val="0"/>
          <w:sz w:val="24"/>
        </w:rPr>
        <w:t>1000 × (1 + 0,3)^2 = 1690 manat</w:t>
      </w:r>
    </w:p>
    <w:p>
      <w:pPr>
        <w:spacing w:after="80"/>
        <w:ind w:firstLine="0"/>
        <w:jc w:val="center"/>
      </w:pPr>
      <w:r>
        <w:rPr>
          <w:rFonts w:ascii="Times New Roman" w:hAnsi="Times New Roman"/>
          <w:b w:val="0"/>
          <w:sz w:val="24"/>
        </w:rPr>
        <w:t>BC = HC(1 + K)^n</w:t>
      </w:r>
    </w:p>
    <w:p>
      <w:pPr>
        <w:spacing w:after="80" w:line="276" w:lineRule="auto"/>
        <w:ind w:firstLine="560"/>
        <w:jc w:val="both"/>
      </w:pPr>
      <w:r>
        <w:rPr>
          <w:rFonts w:ascii="Times New Roman" w:hAnsi="Times New Roman"/>
          <w:b w:val="0"/>
          <w:sz w:val="24"/>
        </w:rPr>
        <w:t>Bu ýerde BC – puluň geljekki gymmaty; HC – häzirki gymmat; K – göterim koeffisiýenti; n – ýyl sany. Bu formula goýlan serişdäniň geljekde näçe möçbere ýetjekdigini görkezýär.</w:t>
      </w:r>
    </w:p>
    <w:p>
      <w:pPr>
        <w:spacing w:after="80"/>
        <w:ind w:firstLine="0"/>
        <w:jc w:val="center"/>
      </w:pPr>
      <w:r>
        <w:rPr>
          <w:rFonts w:ascii="Times New Roman" w:hAnsi="Times New Roman"/>
          <w:b w:val="0"/>
          <w:sz w:val="24"/>
        </w:rPr>
        <w:t>HC = BC / (1 + K)^n</w:t>
      </w:r>
    </w:p>
    <w:p>
      <w:pPr>
        <w:spacing w:after="80" w:line="276" w:lineRule="auto"/>
        <w:ind w:firstLine="560"/>
        <w:jc w:val="both"/>
      </w:pPr>
      <w:r>
        <w:rPr>
          <w:rFonts w:ascii="Times New Roman" w:hAnsi="Times New Roman"/>
          <w:b w:val="0"/>
          <w:sz w:val="24"/>
        </w:rPr>
        <w:t>Bu ýerde HC – geljekki girdejiniň häzirki gymmaty. Mysal üçin, 5 ýyldan 1 000 000 manat girdeji almak meýilleşdirilse we ortaça göterim derejesi 5% bolsa, häzirki gymmat şeýle hasaplanylýar:</w:t>
      </w:r>
    </w:p>
    <w:p>
      <w:pPr>
        <w:spacing w:after="80"/>
        <w:ind w:firstLine="0"/>
        <w:jc w:val="center"/>
      </w:pPr>
      <w:r>
        <w:rPr>
          <w:rFonts w:ascii="Times New Roman" w:hAnsi="Times New Roman"/>
          <w:b w:val="0"/>
          <w:sz w:val="24"/>
        </w:rPr>
        <w:t>HC = 1 000 000 / (1 + 0,05)^5 = 783 526,2 manat</w:t>
      </w:r>
    </w:p>
    <w:p>
      <w:pPr>
        <w:pStyle w:val="P4"/>
        <w:spacing w:after="120"/>
        <w:jc w:val="left"/>
      </w:pPr>
      <w:r>
        <w:rPr>
          <w:rFonts w:ascii="Times New Roman" w:hAnsi="Times New Roman"/>
          <w:b/>
          <w:sz w:val="26"/>
        </w:rPr>
        <w:t>Programma üpjünçiligi taslamasynyň ykdysady-tehniki esaslandyrylyşy</w:t>
      </w:r>
    </w:p>
    <w:p>
      <w:pPr>
        <w:spacing w:after="80" w:line="276" w:lineRule="auto"/>
        <w:ind w:firstLine="560"/>
        <w:jc w:val="both"/>
      </w:pPr>
      <w:r>
        <w:rPr>
          <w:rFonts w:ascii="Times New Roman" w:hAnsi="Times New Roman"/>
          <w:b w:val="0"/>
          <w:sz w:val="24"/>
        </w:rPr>
        <w:t>IoT Security Scanner taslamasynyň ykdysady-tehniki esaslandyrylyşy programma toplumynyň döredilmegi, synagdan geçirilmegi we lokal torlarda başlangyç howpsuzlyk auditi üçin ulanmagy bilen baglanyşykly çykdajylary görkezýär.</w:t>
      </w:r>
    </w:p>
    <w:p>
      <w:pPr>
        <w:spacing w:after="80" w:line="276" w:lineRule="auto"/>
        <w:ind w:firstLine="560"/>
        <w:jc w:val="both"/>
      </w:pPr>
      <w:r>
        <w:rPr>
          <w:rFonts w:ascii="Times New Roman" w:hAnsi="Times New Roman"/>
          <w:b w:val="0"/>
          <w:sz w:val="24"/>
        </w:rPr>
        <w:t>Taslama boýunça esasy çykdajylar işgärleriň zähmet hakyndan, kompýuter we test tor serişdelerinden, aragatnaşyk we transport çykdajylaryndan, sosial geçirimlerden hem-de iş ýeriniň guramaçylyk harajatlaryndan ybaratdyr.</w:t>
      </w:r>
    </w:p>
    <w:p>
      <w:pPr>
        <w:pStyle w:val="P4"/>
        <w:spacing w:after="120"/>
        <w:jc w:val="left"/>
      </w:pPr>
      <w:r>
        <w:rPr>
          <w:rFonts w:ascii="Times New Roman" w:hAnsi="Times New Roman"/>
          <w:b/>
          <w:sz w:val="26"/>
        </w:rPr>
        <w:t>Işgärleriň sanynyň we zähmet talap edişiniň hasaplanylyşy</w:t>
      </w:r>
    </w:p>
    <w:p>
      <w:pPr>
        <w:spacing w:after="80" w:line="276" w:lineRule="auto"/>
        <w:ind w:firstLine="560"/>
        <w:jc w:val="both"/>
      </w:pPr>
      <w:r>
        <w:rPr>
          <w:rFonts w:ascii="Times New Roman" w:hAnsi="Times New Roman"/>
          <w:b w:val="0"/>
          <w:sz w:val="24"/>
        </w:rPr>
        <w:t>Programma toplumyny işläp taýýarlamak üçin programmist, dizaýner-programmist we ulgam dolandyryjy gatnaşýar. Işgärleriň sany ýerine ýetirilýän işleriň umumy zähmet talap edişine we her işgär üçin kabul edilen iş wagtyna görä kesgitlenilýär.</w:t>
      </w:r>
    </w:p>
    <w:p>
      <w:pPr>
        <w:spacing w:after="80"/>
        <w:ind w:firstLine="0"/>
        <w:jc w:val="center"/>
      </w:pPr>
      <w:r>
        <w:rPr>
          <w:rFonts w:ascii="Times New Roman" w:hAnsi="Times New Roman"/>
          <w:b w:val="0"/>
          <w:sz w:val="24"/>
        </w:rPr>
        <w:t>Nsanaw = Tdb / (Tişçi × Kö.ý.ý.n)</w:t>
      </w:r>
    </w:p>
    <w:p>
      <w:pPr>
        <w:spacing w:after="80"/>
        <w:ind w:firstLine="0"/>
        <w:jc w:val="center"/>
      </w:pPr>
      <w:r>
        <w:rPr>
          <w:rFonts w:ascii="Times New Roman" w:hAnsi="Times New Roman"/>
          <w:b w:val="0"/>
          <w:sz w:val="24"/>
        </w:rPr>
        <w:t>Nsanaw = 96 / (32 × 1) = 3 işgär</w:t>
      </w:r>
    </w:p>
    <w:p>
      <w:pPr>
        <w:spacing w:after="80" w:line="276" w:lineRule="auto"/>
        <w:ind w:firstLine="560"/>
        <w:jc w:val="both"/>
      </w:pPr>
      <w:r>
        <w:rPr>
          <w:rFonts w:ascii="Times New Roman" w:hAnsi="Times New Roman"/>
          <w:b w:val="0"/>
          <w:sz w:val="24"/>
        </w:rPr>
        <w:t>Bu ýerde Tdb – programma toplumyny işläp taýýarlamagyň zähmet talap edişi; Tişçi – bir işgäriň kabul edilen iş wagty; Kö.ý.ý.n – öndürijiligiň ýerine ýetiriliş normasy.</w:t>
      </w:r>
    </w:p>
    <w:tbl>
      <w:tblPr>
        <w:tblStyle w:val="T2"/>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spacing w:after="0"/>
              <w:jc w:val="center"/>
            </w:pPr>
            <w:r>
              <w:rPr>
                <w:rFonts w:ascii="Times New Roman" w:hAnsi="Times New Roman"/>
                <w:b/>
                <w:sz w:val="22"/>
              </w:rPr>
              <w:t>T№</w:t>
            </w:r>
          </w:p>
        </w:tc>
        <w:tc>
          <w:tcPr>
            <w:tcW w:type="dxa" w:w="1384"/>
            <w:vAlign w:val="center"/>
          </w:tcPr>
          <w:p>
            <w:pPr>
              <w:spacing w:after="0"/>
              <w:jc w:val="center"/>
            </w:pPr>
            <w:r>
              <w:rPr>
                <w:rFonts w:ascii="Times New Roman" w:hAnsi="Times New Roman"/>
                <w:b/>
                <w:sz w:val="22"/>
              </w:rPr>
              <w:t>Işçileriň kategoriýasy</w:t>
            </w:r>
          </w:p>
        </w:tc>
        <w:tc>
          <w:tcPr>
            <w:tcW w:type="dxa" w:w="1384"/>
            <w:vAlign w:val="center"/>
          </w:tcPr>
          <w:p>
            <w:pPr>
              <w:spacing w:after="0"/>
              <w:jc w:val="center"/>
            </w:pPr>
            <w:r>
              <w:rPr>
                <w:rFonts w:ascii="Times New Roman" w:hAnsi="Times New Roman"/>
                <w:b/>
                <w:sz w:val="22"/>
              </w:rPr>
              <w:t>Sany</w:t>
            </w:r>
          </w:p>
        </w:tc>
        <w:tc>
          <w:tcPr>
            <w:tcW w:type="dxa" w:w="1384"/>
            <w:vAlign w:val="center"/>
          </w:tcPr>
          <w:p>
            <w:pPr>
              <w:spacing w:after="0"/>
              <w:jc w:val="center"/>
            </w:pPr>
            <w:r>
              <w:rPr>
                <w:rFonts w:ascii="Times New Roman" w:hAnsi="Times New Roman"/>
                <w:b/>
                <w:sz w:val="22"/>
              </w:rPr>
              <w:t>Razrýad</w:t>
            </w:r>
          </w:p>
        </w:tc>
        <w:tc>
          <w:tcPr>
            <w:tcW w:type="dxa" w:w="1384"/>
            <w:vAlign w:val="center"/>
          </w:tcPr>
          <w:p>
            <w:pPr>
              <w:spacing w:after="0"/>
              <w:jc w:val="center"/>
            </w:pPr>
            <w:r>
              <w:rPr>
                <w:rFonts w:ascii="Times New Roman" w:hAnsi="Times New Roman"/>
                <w:b/>
                <w:sz w:val="22"/>
              </w:rPr>
              <w:t>Iş şerti</w:t>
            </w:r>
          </w:p>
        </w:tc>
        <w:tc>
          <w:tcPr>
            <w:tcW w:type="dxa" w:w="1384"/>
            <w:vAlign w:val="center"/>
          </w:tcPr>
          <w:p>
            <w:pPr>
              <w:spacing w:after="0"/>
              <w:jc w:val="center"/>
            </w:pPr>
            <w:r>
              <w:rPr>
                <w:rFonts w:ascii="Times New Roman" w:hAnsi="Times New Roman"/>
                <w:b/>
                <w:sz w:val="22"/>
              </w:rPr>
              <w:t>1 sag. töleg.</w:t>
            </w:r>
          </w:p>
        </w:tc>
        <w:tc>
          <w:tcPr>
            <w:tcW w:type="dxa" w:w="1384"/>
            <w:vAlign w:val="center"/>
          </w:tcPr>
          <w:p>
            <w:pPr>
              <w:spacing w:after="0"/>
              <w:jc w:val="center"/>
            </w:pPr>
            <w:r>
              <w:rPr>
                <w:rFonts w:ascii="Times New Roman" w:hAnsi="Times New Roman"/>
                <w:b/>
                <w:sz w:val="22"/>
              </w:rPr>
              <w:t>Baýrak %</w:t>
            </w:r>
          </w:p>
        </w:tc>
      </w:tr>
      <w:tr>
        <w:tc>
          <w:tcPr>
            <w:tcW w:type="dxa" w:w="1384"/>
            <w:vAlign w:val="center"/>
          </w:tcPr>
          <w:p>
            <w:pPr>
              <w:spacing w:after="0"/>
              <w:jc w:val="center"/>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22</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2</w:t>
            </w:r>
          </w:p>
        </w:tc>
        <w:tc>
          <w:tcPr>
            <w:tcW w:type="dxa" w:w="1384"/>
            <w:vAlign w:val="center"/>
          </w:tcPr>
          <w:p>
            <w:pPr>
              <w:spacing w:after="0"/>
              <w:jc w:val="left"/>
            </w:pPr>
            <w:r>
              <w:rPr>
                <w:rFonts w:ascii="Times New Roman" w:hAnsi="Times New Roman"/>
                <w:b w:val="0"/>
                <w:sz w:val="22"/>
              </w:rPr>
              <w:t>Dizaýner-programmist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19</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Ulgam dolandyryjy</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21</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4</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5</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6</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7</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8</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9</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10</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11</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Jemi:</w:t>
            </w:r>
          </w:p>
        </w:tc>
        <w:tc>
          <w:tcPr>
            <w:tcW w:type="dxa" w:w="1384"/>
            <w:vAlign w:val="center"/>
          </w:tcPr>
          <w:p>
            <w:pPr>
              <w:spacing w:after="0"/>
              <w:jc w:val="left"/>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62</w:t>
            </w:r>
          </w:p>
        </w:tc>
        <w:tc>
          <w:tcPr>
            <w:tcW w:type="dxa" w:w="1384"/>
            <w:vAlign w:val="center"/>
          </w:tcPr>
          <w:p>
            <w:pPr>
              <w:spacing w:after="0"/>
              <w:jc w:val="left"/>
            </w:pPr>
            <w:r>
              <w:rPr>
                <w:rFonts w:ascii="Times New Roman" w:hAnsi="Times New Roman"/>
                <w:b w:val="0"/>
                <w:sz w:val="22"/>
              </w:rPr>
              <w:t>10</w:t>
            </w:r>
          </w:p>
        </w:tc>
      </w:tr>
    </w:tbl>
    <w:p>
      <w:pPr>
        <w:pStyle w:val="P4"/>
        <w:spacing w:after="120"/>
        <w:jc w:val="left"/>
      </w:pPr>
      <w:r>
        <w:rPr>
          <w:rFonts w:ascii="Times New Roman" w:hAnsi="Times New Roman"/>
          <w:b/>
          <w:sz w:val="26"/>
        </w:rPr>
        <w:t>Programma toplumyny işläp taýýarlamagyň bahasyny hasaplap çykarmak</w:t>
      </w:r>
    </w:p>
    <w:p>
      <w:pPr>
        <w:spacing w:after="80" w:line="276" w:lineRule="auto"/>
        <w:ind w:firstLine="560"/>
        <w:jc w:val="both"/>
      </w:pPr>
      <w:r>
        <w:rPr>
          <w:rFonts w:ascii="Times New Roman" w:hAnsi="Times New Roman"/>
          <w:b w:val="0"/>
          <w:sz w:val="24"/>
        </w:rPr>
        <w:t>Çykdajylary hasaplanda tehniki serişdeler, programma gurşawy, transport harajatlary, zähmet haky, sosial gorag geçirimleri, bölüm we kärhana boýunça çykdajylar göz öňünde tutulýar.</w:t>
      </w:r>
    </w:p>
    <w:tbl>
      <w:tblPr>
        <w:tblStyle w:val="T2"/>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spacing w:after="0"/>
              <w:jc w:val="center"/>
            </w:pPr>
            <w:r>
              <w:rPr>
                <w:rFonts w:ascii="Times New Roman" w:hAnsi="Times New Roman"/>
                <w:b/>
                <w:sz w:val="22"/>
              </w:rPr>
              <w:t>T№</w:t>
            </w:r>
          </w:p>
        </w:tc>
        <w:tc>
          <w:tcPr>
            <w:tcW w:type="dxa" w:w="1615"/>
            <w:vAlign w:val="center"/>
          </w:tcPr>
          <w:p>
            <w:pPr>
              <w:spacing w:after="0"/>
              <w:jc w:val="center"/>
            </w:pPr>
            <w:r>
              <w:rPr>
                <w:rFonts w:ascii="Times New Roman" w:hAnsi="Times New Roman"/>
                <w:b/>
                <w:sz w:val="22"/>
              </w:rPr>
              <w:t>Ätiýaçlyk şaýlaryň görnüşi</w:t>
            </w:r>
          </w:p>
        </w:tc>
        <w:tc>
          <w:tcPr>
            <w:tcW w:type="dxa" w:w="1615"/>
            <w:vAlign w:val="center"/>
          </w:tcPr>
          <w:p>
            <w:pPr>
              <w:spacing w:after="0"/>
              <w:jc w:val="center"/>
            </w:pPr>
            <w:r>
              <w:rPr>
                <w:rFonts w:ascii="Times New Roman" w:hAnsi="Times New Roman"/>
                <w:b/>
                <w:sz w:val="22"/>
              </w:rPr>
              <w:t>Ölçeg birligi</w:t>
            </w:r>
          </w:p>
        </w:tc>
        <w:tc>
          <w:tcPr>
            <w:tcW w:type="dxa" w:w="1615"/>
            <w:vAlign w:val="center"/>
          </w:tcPr>
          <w:p>
            <w:pPr>
              <w:spacing w:after="0"/>
              <w:jc w:val="center"/>
            </w:pPr>
            <w:r>
              <w:rPr>
                <w:rFonts w:ascii="Times New Roman" w:hAnsi="Times New Roman"/>
                <w:b/>
                <w:sz w:val="22"/>
              </w:rPr>
              <w:t>Sany</w:t>
            </w:r>
          </w:p>
        </w:tc>
        <w:tc>
          <w:tcPr>
            <w:tcW w:type="dxa" w:w="1615"/>
            <w:vAlign w:val="center"/>
          </w:tcPr>
          <w:p>
            <w:pPr>
              <w:spacing w:after="0"/>
              <w:jc w:val="center"/>
            </w:pPr>
            <w:r>
              <w:rPr>
                <w:rFonts w:ascii="Times New Roman" w:hAnsi="Times New Roman"/>
                <w:b/>
                <w:sz w:val="22"/>
              </w:rPr>
              <w:t>1-niň bahasy</w:t>
            </w:r>
          </w:p>
        </w:tc>
        <w:tc>
          <w:tcPr>
            <w:tcW w:type="dxa" w:w="1615"/>
            <w:vAlign w:val="center"/>
          </w:tcPr>
          <w:p>
            <w:pPr>
              <w:spacing w:after="0"/>
              <w:jc w:val="center"/>
            </w:pPr>
            <w:r>
              <w:rPr>
                <w:rFonts w:ascii="Times New Roman" w:hAnsi="Times New Roman"/>
                <w:b/>
                <w:sz w:val="22"/>
              </w:rPr>
              <w:t>Umumy gymmaty</w:t>
            </w:r>
          </w:p>
        </w:tc>
      </w:tr>
      <w:tr>
        <w:tc>
          <w:tcPr>
            <w:tcW w:type="dxa" w:w="1615"/>
            <w:vAlign w:val="center"/>
          </w:tcPr>
          <w:p>
            <w:pPr>
              <w:spacing w:after="0"/>
              <w:jc w:val="center"/>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Kompýuter ýa-da noutbuk</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3200</w:t>
            </w:r>
          </w:p>
        </w:tc>
        <w:tc>
          <w:tcPr>
            <w:tcW w:type="dxa" w:w="1615"/>
            <w:vAlign w:val="center"/>
          </w:tcPr>
          <w:p>
            <w:pPr>
              <w:spacing w:after="0"/>
              <w:jc w:val="left"/>
            </w:pPr>
            <w:r>
              <w:rPr>
                <w:rFonts w:ascii="Times New Roman" w:hAnsi="Times New Roman"/>
                <w:b w:val="0"/>
                <w:sz w:val="22"/>
              </w:rPr>
              <w:t>3200</w:t>
            </w:r>
          </w:p>
        </w:tc>
      </w:tr>
      <w:tr>
        <w:tc>
          <w:tcPr>
            <w:tcW w:type="dxa" w:w="1615"/>
            <w:vAlign w:val="center"/>
          </w:tcPr>
          <w:p>
            <w:pPr>
              <w:spacing w:after="0"/>
              <w:jc w:val="center"/>
            </w:pPr>
            <w:r>
              <w:rPr>
                <w:rFonts w:ascii="Times New Roman" w:hAnsi="Times New Roman"/>
                <w:b w:val="0"/>
                <w:sz w:val="22"/>
              </w:rPr>
              <w:t>2</w:t>
            </w:r>
          </w:p>
        </w:tc>
        <w:tc>
          <w:tcPr>
            <w:tcW w:type="dxa" w:w="1615"/>
            <w:vAlign w:val="center"/>
          </w:tcPr>
          <w:p>
            <w:pPr>
              <w:spacing w:after="0"/>
              <w:jc w:val="left"/>
            </w:pPr>
            <w:r>
              <w:rPr>
                <w:rFonts w:ascii="Times New Roman" w:hAnsi="Times New Roman"/>
                <w:b w:val="0"/>
                <w:sz w:val="22"/>
              </w:rPr>
              <w:t>Test routeri we Wi-Fi enjamy</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420</w:t>
            </w:r>
          </w:p>
        </w:tc>
        <w:tc>
          <w:tcPr>
            <w:tcW w:type="dxa" w:w="1615"/>
            <w:vAlign w:val="center"/>
          </w:tcPr>
          <w:p>
            <w:pPr>
              <w:spacing w:after="0"/>
              <w:jc w:val="left"/>
            </w:pPr>
            <w:r>
              <w:rPr>
                <w:rFonts w:ascii="Times New Roman" w:hAnsi="Times New Roman"/>
                <w:b w:val="0"/>
                <w:sz w:val="22"/>
              </w:rPr>
              <w:t>420</w:t>
            </w:r>
          </w:p>
        </w:tc>
      </w:tr>
      <w:tr>
        <w:tc>
          <w:tcPr>
            <w:tcW w:type="dxa" w:w="1615"/>
            <w:vAlign w:val="center"/>
          </w:tcPr>
          <w:p>
            <w:pPr>
              <w:spacing w:after="0"/>
              <w:jc w:val="center"/>
            </w:pPr>
            <w:r>
              <w:rPr>
                <w:rFonts w:ascii="Times New Roman" w:hAnsi="Times New Roman"/>
                <w:b w:val="0"/>
                <w:sz w:val="22"/>
              </w:rPr>
              <w:t>3</w:t>
            </w:r>
          </w:p>
        </w:tc>
        <w:tc>
          <w:tcPr>
            <w:tcW w:type="dxa" w:w="1615"/>
            <w:vAlign w:val="center"/>
          </w:tcPr>
          <w:p>
            <w:pPr>
              <w:spacing w:after="0"/>
              <w:jc w:val="left"/>
            </w:pPr>
            <w:r>
              <w:rPr>
                <w:rFonts w:ascii="Times New Roman" w:hAnsi="Times New Roman"/>
                <w:b w:val="0"/>
                <w:sz w:val="22"/>
              </w:rPr>
              <w:t>Windows OU</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120</w:t>
            </w:r>
          </w:p>
        </w:tc>
        <w:tc>
          <w:tcPr>
            <w:tcW w:type="dxa" w:w="1615"/>
            <w:vAlign w:val="center"/>
          </w:tcPr>
          <w:p>
            <w:pPr>
              <w:spacing w:after="0"/>
              <w:jc w:val="left"/>
            </w:pPr>
            <w:r>
              <w:rPr>
                <w:rFonts w:ascii="Times New Roman" w:hAnsi="Times New Roman"/>
                <w:b w:val="0"/>
                <w:sz w:val="22"/>
              </w:rPr>
              <w:t>120</w:t>
            </w:r>
          </w:p>
        </w:tc>
      </w:tr>
      <w:tr>
        <w:tc>
          <w:tcPr>
            <w:tcW w:type="dxa" w:w="1615"/>
            <w:vAlign w:val="center"/>
          </w:tcPr>
          <w:p>
            <w:pPr>
              <w:spacing w:after="0"/>
              <w:jc w:val="center"/>
            </w:pPr>
            <w:r>
              <w:rPr>
                <w:rFonts w:ascii="Times New Roman" w:hAnsi="Times New Roman"/>
                <w:b w:val="0"/>
                <w:sz w:val="22"/>
              </w:rPr>
              <w:t>4</w:t>
            </w:r>
          </w:p>
        </w:tc>
        <w:tc>
          <w:tcPr>
            <w:tcW w:type="dxa" w:w="1615"/>
            <w:vAlign w:val="center"/>
          </w:tcPr>
          <w:p>
            <w:pPr>
              <w:spacing w:after="0"/>
              <w:jc w:val="left"/>
            </w:pPr>
            <w:r>
              <w:rPr>
                <w:rFonts w:ascii="Times New Roman" w:hAnsi="Times New Roman"/>
                <w:b w:val="0"/>
                <w:sz w:val="22"/>
              </w:rPr>
              <w:t>Resminama we PDF hasabat taýýarlamak serişdeleri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160</w:t>
            </w:r>
          </w:p>
        </w:tc>
        <w:tc>
          <w:tcPr>
            <w:tcW w:type="dxa" w:w="1615"/>
            <w:vAlign w:val="center"/>
          </w:tcPr>
          <w:p>
            <w:pPr>
              <w:spacing w:after="0"/>
              <w:jc w:val="left"/>
            </w:pPr>
            <w:r>
              <w:rPr>
                <w:rFonts w:ascii="Times New Roman" w:hAnsi="Times New Roman"/>
                <w:b w:val="0"/>
                <w:sz w:val="22"/>
              </w:rPr>
              <w:t>160</w:t>
            </w:r>
          </w:p>
        </w:tc>
      </w:tr>
      <w:tr>
        <w:tc>
          <w:tcPr>
            <w:tcW w:type="dxa" w:w="1615"/>
            <w:vAlign w:val="center"/>
          </w:tcPr>
          <w:p>
            <w:pPr>
              <w:spacing w:after="0"/>
              <w:jc w:val="center"/>
            </w:pPr>
            <w:r>
              <w:rPr>
                <w:rFonts w:ascii="Times New Roman" w:hAnsi="Times New Roman"/>
                <w:b w:val="0"/>
                <w:sz w:val="22"/>
              </w:rPr>
              <w:t>5</w:t>
            </w:r>
          </w:p>
        </w:tc>
        <w:tc>
          <w:tcPr>
            <w:tcW w:type="dxa" w:w="1615"/>
            <w:vAlign w:val="center"/>
          </w:tcPr>
          <w:p>
            <w:pPr>
              <w:spacing w:after="0"/>
              <w:jc w:val="left"/>
            </w:pPr>
            <w:r>
              <w:rPr>
                <w:rFonts w:ascii="Times New Roman" w:hAnsi="Times New Roman"/>
                <w:b w:val="0"/>
                <w:sz w:val="22"/>
              </w:rPr>
              <w:t>Python, PyQt6, Nmap we SQLite açyk çeşmeli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0</w:t>
            </w:r>
          </w:p>
        </w:tc>
        <w:tc>
          <w:tcPr>
            <w:tcW w:type="dxa" w:w="1615"/>
            <w:vAlign w:val="center"/>
          </w:tcPr>
          <w:p>
            <w:pPr>
              <w:spacing w:after="0"/>
              <w:jc w:val="left"/>
            </w:pPr>
            <w:r>
              <w:rPr>
                <w:rFonts w:ascii="Times New Roman" w:hAnsi="Times New Roman"/>
                <w:b w:val="0"/>
                <w:sz w:val="22"/>
              </w:rPr>
              <w:t>0</w:t>
            </w:r>
          </w:p>
        </w:tc>
      </w:tr>
      <w:tr>
        <w:tc>
          <w:tcPr>
            <w:tcW w:type="dxa" w:w="1615"/>
            <w:vAlign w:val="center"/>
          </w:tcPr>
          <w:p>
            <w:pPr>
              <w:spacing w:after="0"/>
              <w:jc w:val="center"/>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t>USB göteriji we tor kabeli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90</w:t>
            </w:r>
          </w:p>
        </w:tc>
        <w:tc>
          <w:tcPr>
            <w:tcW w:type="dxa" w:w="1615"/>
            <w:vAlign w:val="center"/>
          </w:tcPr>
          <w:p>
            <w:pPr>
              <w:spacing w:after="0"/>
              <w:jc w:val="left"/>
            </w:pPr>
            <w:r>
              <w:rPr>
                <w:rFonts w:ascii="Times New Roman" w:hAnsi="Times New Roman"/>
                <w:b w:val="0"/>
                <w:sz w:val="22"/>
              </w:rPr>
              <w:t>90</w:t>
            </w:r>
          </w:p>
        </w:tc>
      </w:tr>
      <w:tr>
        <w:tc>
          <w:tcPr>
            <w:tcW w:type="dxa" w:w="1615"/>
            <w:vAlign w:val="center"/>
          </w:tcPr>
          <w:p>
            <w:pPr>
              <w:spacing w:after="0"/>
              <w:jc w:val="center"/>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Jemi</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3990</w:t>
            </w:r>
          </w:p>
        </w:tc>
      </w:tr>
    </w:tbl>
    <w:p>
      <w:pPr>
        <w:spacing w:after="80" w:line="276" w:lineRule="auto"/>
        <w:ind w:firstLine="560"/>
        <w:jc w:val="both"/>
      </w:pPr>
      <w:r>
        <w:rPr>
          <w:rFonts w:ascii="Times New Roman" w:hAnsi="Times New Roman"/>
          <w:b w:val="0"/>
          <w:sz w:val="24"/>
        </w:rPr>
        <w:t>Transport harajatlary materiallaryň we tehniki serişdeleriň bahasynyň 10%-i möçberinde alynýar.</w:t>
      </w:r>
    </w:p>
    <w:p>
      <w:pPr>
        <w:spacing w:after="80"/>
        <w:ind w:firstLine="0"/>
        <w:jc w:val="center"/>
      </w:pPr>
      <w:r>
        <w:rPr>
          <w:rFonts w:ascii="Times New Roman" w:hAnsi="Times New Roman"/>
          <w:b w:val="0"/>
          <w:sz w:val="24"/>
        </w:rPr>
        <w:t>Ttr = M × 0,10 = 3990 × 0,10 = 399,00 manat</w:t>
      </w:r>
    </w:p>
    <w:p>
      <w:pPr>
        <w:spacing w:after="80" w:line="276" w:lineRule="auto"/>
        <w:ind w:firstLine="560"/>
        <w:jc w:val="both"/>
      </w:pPr>
      <w:r>
        <w:rPr>
          <w:rFonts w:ascii="Times New Roman" w:hAnsi="Times New Roman"/>
          <w:b w:val="0"/>
          <w:sz w:val="24"/>
        </w:rPr>
        <w:t>Ortaça sagatlaýyn töleg işgärleriň sagatlyk tölegleriniň ortaça bahasy boýunça kesgitlenilýär.</w:t>
      </w:r>
    </w:p>
    <w:p>
      <w:pPr>
        <w:spacing w:after="80"/>
        <w:ind w:firstLine="0"/>
        <w:jc w:val="center"/>
      </w:pPr>
      <w:r>
        <w:rPr>
          <w:rFonts w:ascii="Times New Roman" w:hAnsi="Times New Roman"/>
          <w:b w:val="0"/>
          <w:sz w:val="24"/>
        </w:rPr>
        <w:t>Corta = (22 + 19 + 21) / 3 = 20,67 manat/sag.</w:t>
      </w:r>
    </w:p>
    <w:p>
      <w:pPr>
        <w:spacing w:after="80"/>
        <w:ind w:firstLine="0"/>
        <w:jc w:val="center"/>
      </w:pPr>
      <w:r>
        <w:rPr>
          <w:rFonts w:ascii="Times New Roman" w:hAnsi="Times New Roman"/>
          <w:b w:val="0"/>
          <w:sz w:val="24"/>
        </w:rPr>
        <w:t>Ztar = Corta × Tdb = 20,67 × 96 = 1984,32 manat</w:t>
      </w:r>
    </w:p>
    <w:p>
      <w:pPr>
        <w:spacing w:after="80" w:line="276" w:lineRule="auto"/>
        <w:ind w:firstLine="560"/>
        <w:jc w:val="both"/>
      </w:pPr>
      <w:r>
        <w:rPr>
          <w:rFonts w:ascii="Times New Roman" w:hAnsi="Times New Roman"/>
          <w:b w:val="0"/>
          <w:sz w:val="24"/>
        </w:rPr>
        <w:t>Baýrak gaznasynyň möçberi tarif boýunça zähmet hakynyň 10%-i hökmünde kabul edilýär.</w:t>
      </w:r>
    </w:p>
    <w:p>
      <w:pPr>
        <w:spacing w:after="80"/>
        <w:ind w:firstLine="0"/>
        <w:jc w:val="center"/>
      </w:pPr>
      <w:r>
        <w:rPr>
          <w:rFonts w:ascii="Times New Roman" w:hAnsi="Times New Roman"/>
          <w:b w:val="0"/>
          <w:sz w:val="24"/>
        </w:rPr>
        <w:t>Zbaýr = Ztar × 0,10 = 198,43 manat</w:t>
      </w:r>
    </w:p>
    <w:p>
      <w:pPr>
        <w:spacing w:after="80"/>
        <w:ind w:firstLine="0"/>
        <w:jc w:val="center"/>
      </w:pPr>
      <w:r>
        <w:rPr>
          <w:rFonts w:ascii="Times New Roman" w:hAnsi="Times New Roman"/>
          <w:b w:val="0"/>
          <w:sz w:val="24"/>
        </w:rPr>
        <w:t>Zes = Ztar + Zbaýr = 2182,75 manat</w:t>
      </w:r>
    </w:p>
    <w:p>
      <w:pPr>
        <w:spacing w:after="80" w:line="276" w:lineRule="auto"/>
        <w:ind w:firstLine="560"/>
        <w:jc w:val="both"/>
      </w:pPr>
      <w:r>
        <w:rPr>
          <w:rFonts w:ascii="Times New Roman" w:hAnsi="Times New Roman"/>
          <w:b w:val="0"/>
          <w:sz w:val="24"/>
        </w:rPr>
        <w:t>Goşmaça zähmet haky esasy zähmet hakynyň 10%-i möçberinde hasaplanylýar.</w:t>
      </w:r>
    </w:p>
    <w:p>
      <w:pPr>
        <w:spacing w:after="80"/>
        <w:ind w:firstLine="0"/>
        <w:jc w:val="center"/>
      </w:pPr>
      <w:r>
        <w:rPr>
          <w:rFonts w:ascii="Times New Roman" w:hAnsi="Times New Roman"/>
          <w:b w:val="0"/>
          <w:sz w:val="24"/>
        </w:rPr>
        <w:t>Zgoşm = Zes × 0,10 = 218,28 manat</w:t>
      </w:r>
    </w:p>
    <w:p>
      <w:pPr>
        <w:spacing w:after="80"/>
        <w:ind w:firstLine="0"/>
        <w:jc w:val="center"/>
      </w:pPr>
      <w:r>
        <w:rPr>
          <w:rFonts w:ascii="Times New Roman" w:hAnsi="Times New Roman"/>
          <w:b w:val="0"/>
          <w:sz w:val="24"/>
        </w:rPr>
        <w:t>Zum = Zes + Zgoşm = 2401,03 manat</w:t>
      </w:r>
    </w:p>
    <w:p>
      <w:pPr>
        <w:spacing w:after="80" w:line="276" w:lineRule="auto"/>
        <w:ind w:firstLine="560"/>
        <w:jc w:val="both"/>
      </w:pPr>
      <w:r>
        <w:rPr>
          <w:rFonts w:ascii="Times New Roman" w:hAnsi="Times New Roman"/>
          <w:b w:val="0"/>
          <w:sz w:val="24"/>
        </w:rPr>
        <w:t>Sosial gorag üçin geçirimler umumy zähmet hakynyň 20%-i möçberinde kabul edilýär.</w:t>
      </w:r>
    </w:p>
    <w:p>
      <w:pPr>
        <w:spacing w:after="80"/>
        <w:ind w:firstLine="0"/>
        <w:jc w:val="center"/>
      </w:pPr>
      <w:r>
        <w:rPr>
          <w:rFonts w:ascii="Times New Roman" w:hAnsi="Times New Roman"/>
          <w:b w:val="0"/>
          <w:sz w:val="24"/>
        </w:rPr>
        <w:t>Ssos.gor = Zum × 0,20 = 480,21 manat</w:t>
      </w:r>
    </w:p>
    <w:p>
      <w:pPr>
        <w:spacing w:after="80" w:line="276" w:lineRule="auto"/>
        <w:ind w:firstLine="560"/>
        <w:jc w:val="both"/>
      </w:pPr>
      <w:r>
        <w:rPr>
          <w:rFonts w:ascii="Times New Roman" w:hAnsi="Times New Roman"/>
          <w:b w:val="0"/>
          <w:sz w:val="24"/>
        </w:rPr>
        <w:t>Bölüm boýunça we kärhana boýunça çykdajylar esasy zähmet hakyndan kabul edilen normlar boýunça hasaplanylýar.</w:t>
      </w:r>
    </w:p>
    <w:p>
      <w:pPr>
        <w:spacing w:after="80"/>
        <w:ind w:firstLine="0"/>
        <w:jc w:val="center"/>
      </w:pPr>
      <w:r>
        <w:rPr>
          <w:rFonts w:ascii="Times New Roman" w:hAnsi="Times New Roman"/>
          <w:b w:val="0"/>
          <w:sz w:val="24"/>
        </w:rPr>
        <w:t>Çseh = Zes × 0,15 = 327,41 manat</w:t>
      </w:r>
    </w:p>
    <w:p>
      <w:pPr>
        <w:spacing w:after="80"/>
        <w:ind w:firstLine="0"/>
        <w:jc w:val="center"/>
      </w:pPr>
      <w:r>
        <w:rPr>
          <w:rFonts w:ascii="Times New Roman" w:hAnsi="Times New Roman"/>
          <w:b w:val="0"/>
          <w:sz w:val="24"/>
        </w:rPr>
        <w:t>Çkärh = Zes × 0,30 = 654,83 manat</w:t>
      </w:r>
    </w:p>
    <w:p>
      <w:pPr>
        <w:spacing w:after="80"/>
        <w:ind w:firstLine="0"/>
        <w:jc w:val="center"/>
      </w:pPr>
      <w:r>
        <w:rPr>
          <w:rFonts w:ascii="Times New Roman" w:hAnsi="Times New Roman"/>
          <w:b w:val="0"/>
          <w:sz w:val="24"/>
        </w:rPr>
        <w:t>Çenjam = Zes × 0,45 = 982,24 manat</w:t>
      </w:r>
    </w:p>
    <w:p>
      <w:pPr>
        <w:spacing w:after="80" w:line="276" w:lineRule="auto"/>
        <w:ind w:firstLine="560"/>
        <w:jc w:val="both"/>
      </w:pPr>
      <w:r>
        <w:rPr>
          <w:rFonts w:ascii="Times New Roman" w:hAnsi="Times New Roman"/>
          <w:b w:val="0"/>
          <w:sz w:val="24"/>
        </w:rPr>
        <w:t>Netijede IoT Security Scanner programma taslamasy boýunça ähli harajatlar aşakdaky tablisa jemlenilýär.</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2"/>
              </w:rPr>
              <w:t>T№</w:t>
            </w:r>
          </w:p>
        </w:tc>
        <w:tc>
          <w:tcPr>
            <w:tcW w:type="dxa" w:w="3230"/>
            <w:vAlign w:val="center"/>
          </w:tcPr>
          <w:p>
            <w:pPr>
              <w:spacing w:after="0"/>
              <w:jc w:val="center"/>
            </w:pPr>
            <w:r>
              <w:rPr>
                <w:rFonts w:ascii="Times New Roman" w:hAnsi="Times New Roman"/>
                <w:b/>
                <w:sz w:val="22"/>
              </w:rPr>
              <w:t>Maddanyň görnüşleri</w:t>
            </w:r>
          </w:p>
        </w:tc>
        <w:tc>
          <w:tcPr>
            <w:tcW w:type="dxa" w:w="3230"/>
            <w:vAlign w:val="center"/>
          </w:tcPr>
          <w:p>
            <w:pPr>
              <w:spacing w:after="0"/>
              <w:jc w:val="center"/>
            </w:pPr>
            <w:r>
              <w:rPr>
                <w:rFonts w:ascii="Times New Roman" w:hAnsi="Times New Roman"/>
                <w:b/>
                <w:sz w:val="22"/>
              </w:rPr>
              <w:t>Gymmaty (Manat)</w:t>
            </w:r>
          </w:p>
        </w:tc>
      </w:tr>
      <w:tr>
        <w:tc>
          <w:tcPr>
            <w:tcW w:type="dxa" w:w="3230"/>
            <w:vAlign w:val="center"/>
          </w:tcPr>
          <w:p>
            <w:pPr>
              <w:spacing w:after="0"/>
              <w:jc w:val="center"/>
            </w:pPr>
            <w:r>
              <w:rPr>
                <w:rFonts w:ascii="Times New Roman" w:hAnsi="Times New Roman"/>
                <w:b w:val="0"/>
                <w:sz w:val="22"/>
              </w:rPr>
              <w:t>1</w:t>
            </w:r>
          </w:p>
        </w:tc>
        <w:tc>
          <w:tcPr>
            <w:tcW w:type="dxa" w:w="3230"/>
            <w:vAlign w:val="center"/>
          </w:tcPr>
          <w:p>
            <w:pPr>
              <w:spacing w:after="0"/>
              <w:jc w:val="left"/>
            </w:pPr>
            <w:r>
              <w:rPr>
                <w:rFonts w:ascii="Times New Roman" w:hAnsi="Times New Roman"/>
                <w:b w:val="0"/>
                <w:sz w:val="22"/>
              </w:rPr>
              <w:t>Materiallar, tehniki we programma serişdeleri</w:t>
            </w:r>
          </w:p>
        </w:tc>
        <w:tc>
          <w:tcPr>
            <w:tcW w:type="dxa" w:w="3230"/>
            <w:vAlign w:val="center"/>
          </w:tcPr>
          <w:p>
            <w:pPr>
              <w:spacing w:after="0"/>
              <w:jc w:val="left"/>
            </w:pPr>
            <w:r>
              <w:rPr>
                <w:rFonts w:ascii="Times New Roman" w:hAnsi="Times New Roman"/>
                <w:b w:val="0"/>
                <w:sz w:val="22"/>
              </w:rPr>
              <w:t>3990,00</w:t>
            </w:r>
          </w:p>
        </w:tc>
      </w:tr>
      <w:tr>
        <w:tc>
          <w:tcPr>
            <w:tcW w:type="dxa" w:w="3230"/>
            <w:vAlign w:val="center"/>
          </w:tcPr>
          <w:p>
            <w:pPr>
              <w:spacing w:after="0"/>
              <w:jc w:val="center"/>
            </w:pPr>
            <w:r>
              <w:rPr>
                <w:rFonts w:ascii="Times New Roman" w:hAnsi="Times New Roman"/>
                <w:b w:val="0"/>
                <w:sz w:val="22"/>
              </w:rPr>
              <w:t>2</w:t>
            </w:r>
          </w:p>
        </w:tc>
        <w:tc>
          <w:tcPr>
            <w:tcW w:type="dxa" w:w="3230"/>
            <w:vAlign w:val="center"/>
          </w:tcPr>
          <w:p>
            <w:pPr>
              <w:spacing w:after="0"/>
              <w:jc w:val="left"/>
            </w:pPr>
            <w:r>
              <w:rPr>
                <w:rFonts w:ascii="Times New Roman" w:hAnsi="Times New Roman"/>
                <w:b w:val="0"/>
                <w:sz w:val="22"/>
              </w:rPr>
              <w:t>Transport harajatlary</w:t>
            </w:r>
          </w:p>
        </w:tc>
        <w:tc>
          <w:tcPr>
            <w:tcW w:type="dxa" w:w="3230"/>
            <w:vAlign w:val="center"/>
          </w:tcPr>
          <w:p>
            <w:pPr>
              <w:spacing w:after="0"/>
              <w:jc w:val="left"/>
            </w:pPr>
            <w:r>
              <w:rPr>
                <w:rFonts w:ascii="Times New Roman" w:hAnsi="Times New Roman"/>
                <w:b w:val="0"/>
                <w:sz w:val="22"/>
              </w:rPr>
              <w:t>399,00</w:t>
            </w:r>
          </w:p>
        </w:tc>
      </w:tr>
      <w:tr>
        <w:tc>
          <w:tcPr>
            <w:tcW w:type="dxa" w:w="3230"/>
            <w:vAlign w:val="center"/>
          </w:tcPr>
          <w:p>
            <w:pPr>
              <w:spacing w:after="0"/>
              <w:jc w:val="center"/>
            </w:pPr>
            <w:r>
              <w:rPr>
                <w:rFonts w:ascii="Times New Roman" w:hAnsi="Times New Roman"/>
                <w:b w:val="0"/>
                <w:sz w:val="22"/>
              </w:rPr>
              <w:t>3</w:t>
            </w:r>
          </w:p>
        </w:tc>
        <w:tc>
          <w:tcPr>
            <w:tcW w:type="dxa" w:w="3230"/>
            <w:vAlign w:val="center"/>
          </w:tcPr>
          <w:p>
            <w:pPr>
              <w:spacing w:after="0"/>
              <w:jc w:val="left"/>
            </w:pPr>
            <w:r>
              <w:rPr>
                <w:rFonts w:ascii="Times New Roman" w:hAnsi="Times New Roman"/>
                <w:b w:val="0"/>
                <w:sz w:val="22"/>
              </w:rPr>
              <w:t>Esasy zähmet haky</w:t>
            </w:r>
          </w:p>
        </w:tc>
        <w:tc>
          <w:tcPr>
            <w:tcW w:type="dxa" w:w="3230"/>
            <w:vAlign w:val="center"/>
          </w:tcPr>
          <w:p>
            <w:pPr>
              <w:spacing w:after="0"/>
              <w:jc w:val="left"/>
            </w:pPr>
            <w:r>
              <w:rPr>
                <w:rFonts w:ascii="Times New Roman" w:hAnsi="Times New Roman"/>
                <w:b w:val="0"/>
                <w:sz w:val="22"/>
              </w:rPr>
              <w:t>2182,75</w:t>
            </w:r>
          </w:p>
        </w:tc>
      </w:tr>
      <w:tr>
        <w:tc>
          <w:tcPr>
            <w:tcW w:type="dxa" w:w="3230"/>
            <w:vAlign w:val="center"/>
          </w:tcPr>
          <w:p>
            <w:pPr>
              <w:spacing w:after="0"/>
              <w:jc w:val="center"/>
            </w:pPr>
            <w:r>
              <w:rPr>
                <w:rFonts w:ascii="Times New Roman" w:hAnsi="Times New Roman"/>
                <w:b w:val="0"/>
                <w:sz w:val="22"/>
              </w:rPr>
              <w:t>4</w:t>
            </w:r>
          </w:p>
        </w:tc>
        <w:tc>
          <w:tcPr>
            <w:tcW w:type="dxa" w:w="3230"/>
            <w:vAlign w:val="center"/>
          </w:tcPr>
          <w:p>
            <w:pPr>
              <w:spacing w:after="0"/>
              <w:jc w:val="left"/>
            </w:pPr>
            <w:r>
              <w:rPr>
                <w:rFonts w:ascii="Times New Roman" w:hAnsi="Times New Roman"/>
                <w:b w:val="0"/>
                <w:sz w:val="22"/>
              </w:rPr>
              <w:t>Goşmaça zähmet haky</w:t>
            </w:r>
          </w:p>
        </w:tc>
        <w:tc>
          <w:tcPr>
            <w:tcW w:type="dxa" w:w="3230"/>
            <w:vAlign w:val="center"/>
          </w:tcPr>
          <w:p>
            <w:pPr>
              <w:spacing w:after="0"/>
              <w:jc w:val="left"/>
            </w:pPr>
            <w:r>
              <w:rPr>
                <w:rFonts w:ascii="Times New Roman" w:hAnsi="Times New Roman"/>
                <w:b w:val="0"/>
                <w:sz w:val="22"/>
              </w:rPr>
              <w:t>218,28</w:t>
            </w:r>
          </w:p>
        </w:tc>
      </w:tr>
      <w:tr>
        <w:tc>
          <w:tcPr>
            <w:tcW w:type="dxa" w:w="3230"/>
            <w:vAlign w:val="center"/>
          </w:tcPr>
          <w:p>
            <w:pPr>
              <w:spacing w:after="0"/>
              <w:jc w:val="center"/>
            </w:pPr>
            <w:r>
              <w:rPr>
                <w:rFonts w:ascii="Times New Roman" w:hAnsi="Times New Roman"/>
                <w:b w:val="0"/>
                <w:sz w:val="22"/>
              </w:rPr>
              <w:t>5</w:t>
            </w:r>
          </w:p>
        </w:tc>
        <w:tc>
          <w:tcPr>
            <w:tcW w:type="dxa" w:w="3230"/>
            <w:vAlign w:val="center"/>
          </w:tcPr>
          <w:p>
            <w:pPr>
              <w:spacing w:after="0"/>
              <w:jc w:val="left"/>
            </w:pPr>
            <w:r>
              <w:rPr>
                <w:rFonts w:ascii="Times New Roman" w:hAnsi="Times New Roman"/>
                <w:b w:val="0"/>
                <w:sz w:val="22"/>
              </w:rPr>
              <w:t>Sosial gorag üçin geçirimler</w:t>
            </w:r>
          </w:p>
        </w:tc>
        <w:tc>
          <w:tcPr>
            <w:tcW w:type="dxa" w:w="3230"/>
            <w:vAlign w:val="center"/>
          </w:tcPr>
          <w:p>
            <w:pPr>
              <w:spacing w:after="0"/>
              <w:jc w:val="left"/>
            </w:pPr>
            <w:r>
              <w:rPr>
                <w:rFonts w:ascii="Times New Roman" w:hAnsi="Times New Roman"/>
                <w:b w:val="0"/>
                <w:sz w:val="22"/>
              </w:rPr>
              <w:t>480,21</w:t>
            </w:r>
          </w:p>
        </w:tc>
      </w:tr>
      <w:tr>
        <w:tc>
          <w:tcPr>
            <w:tcW w:type="dxa" w:w="3230"/>
            <w:vAlign w:val="center"/>
          </w:tcPr>
          <w:p>
            <w:pPr>
              <w:spacing w:after="0"/>
              <w:jc w:val="center"/>
            </w:pPr>
            <w:r>
              <w:rPr>
                <w:rFonts w:ascii="Times New Roman" w:hAnsi="Times New Roman"/>
                <w:b w:val="0"/>
                <w:sz w:val="22"/>
              </w:rPr>
              <w:t>6</w:t>
            </w:r>
          </w:p>
        </w:tc>
        <w:tc>
          <w:tcPr>
            <w:tcW w:type="dxa" w:w="3230"/>
            <w:vAlign w:val="center"/>
          </w:tcPr>
          <w:p>
            <w:pPr>
              <w:spacing w:after="0"/>
              <w:jc w:val="left"/>
            </w:pPr>
            <w:r>
              <w:rPr>
                <w:rFonts w:ascii="Times New Roman" w:hAnsi="Times New Roman"/>
                <w:b w:val="0"/>
                <w:sz w:val="22"/>
              </w:rPr>
              <w:t>Seh boýunça çykdajylar</w:t>
            </w:r>
          </w:p>
        </w:tc>
        <w:tc>
          <w:tcPr>
            <w:tcW w:type="dxa" w:w="3230"/>
            <w:vAlign w:val="center"/>
          </w:tcPr>
          <w:p>
            <w:pPr>
              <w:spacing w:after="0"/>
              <w:jc w:val="left"/>
            </w:pPr>
            <w:r>
              <w:rPr>
                <w:rFonts w:ascii="Times New Roman" w:hAnsi="Times New Roman"/>
                <w:b w:val="0"/>
                <w:sz w:val="22"/>
              </w:rPr>
              <w:t>327,41</w:t>
            </w:r>
          </w:p>
        </w:tc>
      </w:tr>
      <w:tr>
        <w:tc>
          <w:tcPr>
            <w:tcW w:type="dxa" w:w="3230"/>
            <w:vAlign w:val="center"/>
          </w:tcPr>
          <w:p>
            <w:pPr>
              <w:spacing w:after="0"/>
              <w:jc w:val="center"/>
            </w:pPr>
            <w:r>
              <w:rPr>
                <w:rFonts w:ascii="Times New Roman" w:hAnsi="Times New Roman"/>
                <w:b w:val="0"/>
                <w:sz w:val="22"/>
              </w:rPr>
              <w:t>7</w:t>
            </w:r>
          </w:p>
        </w:tc>
        <w:tc>
          <w:tcPr>
            <w:tcW w:type="dxa" w:w="3230"/>
            <w:vAlign w:val="center"/>
          </w:tcPr>
          <w:p>
            <w:pPr>
              <w:spacing w:after="0"/>
              <w:jc w:val="left"/>
            </w:pPr>
            <w:r>
              <w:rPr>
                <w:rFonts w:ascii="Times New Roman" w:hAnsi="Times New Roman"/>
                <w:b w:val="0"/>
                <w:sz w:val="22"/>
              </w:rPr>
              <w:t>Kärhana boýunça çykdajylar</w:t>
            </w:r>
          </w:p>
        </w:tc>
        <w:tc>
          <w:tcPr>
            <w:tcW w:type="dxa" w:w="3230"/>
            <w:vAlign w:val="center"/>
          </w:tcPr>
          <w:p>
            <w:pPr>
              <w:spacing w:after="0"/>
              <w:jc w:val="left"/>
            </w:pPr>
            <w:r>
              <w:rPr>
                <w:rFonts w:ascii="Times New Roman" w:hAnsi="Times New Roman"/>
                <w:b w:val="0"/>
                <w:sz w:val="22"/>
              </w:rPr>
              <w:t>654,83</w:t>
            </w:r>
          </w:p>
        </w:tc>
      </w:tr>
      <w:tr>
        <w:tc>
          <w:tcPr>
            <w:tcW w:type="dxa" w:w="3230"/>
            <w:vAlign w:val="center"/>
          </w:tcPr>
          <w:p>
            <w:pPr>
              <w:spacing w:after="0"/>
              <w:jc w:val="center"/>
            </w:pPr>
            <w:r>
              <w:rPr>
                <w:rFonts w:ascii="Times New Roman" w:hAnsi="Times New Roman"/>
                <w:b w:val="0"/>
                <w:sz w:val="22"/>
              </w:rPr>
              <w:t>8</w:t>
            </w:r>
          </w:p>
        </w:tc>
        <w:tc>
          <w:tcPr>
            <w:tcW w:type="dxa" w:w="3230"/>
            <w:vAlign w:val="center"/>
          </w:tcPr>
          <w:p>
            <w:pPr>
              <w:spacing w:after="0"/>
              <w:jc w:val="left"/>
            </w:pPr>
            <w:r>
              <w:rPr>
                <w:rFonts w:ascii="Times New Roman" w:hAnsi="Times New Roman"/>
                <w:b w:val="0"/>
                <w:sz w:val="22"/>
              </w:rPr>
              <w:t>Enjamlara we programma gurşawyna çykdajylar</w:t>
            </w:r>
          </w:p>
        </w:tc>
        <w:tc>
          <w:tcPr>
            <w:tcW w:type="dxa" w:w="3230"/>
            <w:vAlign w:val="center"/>
          </w:tcPr>
          <w:p>
            <w:pPr>
              <w:spacing w:after="0"/>
              <w:jc w:val="left"/>
            </w:pPr>
            <w:r>
              <w:rPr>
                <w:rFonts w:ascii="Times New Roman" w:hAnsi="Times New Roman"/>
                <w:b w:val="0"/>
                <w:sz w:val="22"/>
              </w:rPr>
              <w:t>982,24</w:t>
            </w:r>
          </w:p>
        </w:tc>
      </w:tr>
      <w:tr>
        <w:tc>
          <w:tcPr>
            <w:tcW w:type="dxa" w:w="3230"/>
            <w:vAlign w:val="center"/>
          </w:tcPr>
          <w:p>
            <w:pPr>
              <w:spacing w:after="0"/>
              <w:jc w:val="center"/>
            </w:pPr>
            <w:r>
              <w:rPr>
                <w:rFonts w:ascii="Times New Roman" w:hAnsi="Times New Roman"/>
                <w:b w:val="0"/>
                <w:sz w:val="22"/>
              </w:rPr>
              <w:t>9</w:t>
            </w:r>
          </w:p>
        </w:tc>
        <w:tc>
          <w:tcPr>
            <w:tcW w:type="dxa" w:w="3230"/>
            <w:vAlign w:val="center"/>
          </w:tcPr>
          <w:p>
            <w:pPr>
              <w:spacing w:after="0"/>
              <w:jc w:val="left"/>
            </w:pPr>
            <w:r>
              <w:rPr>
                <w:rFonts w:ascii="Times New Roman" w:hAnsi="Times New Roman"/>
                <w:b w:val="0"/>
                <w:sz w:val="22"/>
              </w:rPr>
              <w:t>Jemi harajatlar</w:t>
            </w:r>
          </w:p>
        </w:tc>
        <w:tc>
          <w:tcPr>
            <w:tcW w:type="dxa" w:w="3230"/>
            <w:vAlign w:val="center"/>
          </w:tcPr>
          <w:p>
            <w:pPr>
              <w:spacing w:after="0"/>
              <w:jc w:val="left"/>
            </w:pPr>
            <w:r>
              <w:rPr>
                <w:rFonts w:ascii="Times New Roman" w:hAnsi="Times New Roman"/>
                <w:b w:val="0"/>
                <w:sz w:val="22"/>
              </w:rPr>
              <w:t>9234,72</w:t>
            </w:r>
          </w:p>
        </w:tc>
      </w:tr>
      <w:tr>
        <w:tc>
          <w:tcPr>
            <w:tcW w:type="dxa" w:w="3230"/>
            <w:vAlign w:val="center"/>
          </w:tcPr>
          <w:p>
            <w:pPr>
              <w:spacing w:after="0"/>
              <w:jc w:val="center"/>
            </w:pPr>
            <w:r>
              <w:rPr>
                <w:rFonts w:ascii="Times New Roman" w:hAnsi="Times New Roman"/>
                <w:b w:val="0"/>
                <w:sz w:val="22"/>
              </w:rPr>
              <w:t>10</w:t>
            </w:r>
          </w:p>
        </w:tc>
        <w:tc>
          <w:tcPr>
            <w:tcW w:type="dxa" w:w="3230"/>
            <w:vAlign w:val="center"/>
          </w:tcPr>
          <w:p>
            <w:pPr>
              <w:spacing w:after="0"/>
              <w:jc w:val="left"/>
            </w:pPr>
            <w:r>
              <w:rPr>
                <w:rFonts w:ascii="Times New Roman" w:hAnsi="Times New Roman"/>
                <w:b w:val="0"/>
                <w:sz w:val="22"/>
              </w:rPr>
              <w:t>Ýyllyk ykdysady netije</w:t>
            </w:r>
          </w:p>
        </w:tc>
        <w:tc>
          <w:tcPr>
            <w:tcW w:type="dxa" w:w="3230"/>
            <w:vAlign w:val="center"/>
          </w:tcPr>
          <w:p>
            <w:pPr>
              <w:spacing w:after="0"/>
              <w:jc w:val="left"/>
            </w:pPr>
            <w:r>
              <w:rPr>
                <w:rFonts w:ascii="Times New Roman" w:hAnsi="Times New Roman"/>
                <w:b w:val="0"/>
                <w:sz w:val="22"/>
              </w:rPr>
              <w:t>4125,00</w:t>
            </w:r>
          </w:p>
        </w:tc>
      </w:tr>
      <w:tr>
        <w:tc>
          <w:tcPr>
            <w:tcW w:type="dxa" w:w="3230"/>
            <w:vAlign w:val="center"/>
          </w:tcPr>
          <w:p>
            <w:pPr>
              <w:spacing w:after="0"/>
              <w:jc w:val="center"/>
            </w:pPr>
            <w:r>
              <w:rPr>
                <w:rFonts w:ascii="Times New Roman" w:hAnsi="Times New Roman"/>
                <w:b w:val="0"/>
                <w:sz w:val="22"/>
              </w:rPr>
              <w:t>11</w:t>
            </w:r>
          </w:p>
        </w:tc>
        <w:tc>
          <w:tcPr>
            <w:tcW w:type="dxa" w:w="3230"/>
            <w:vAlign w:val="center"/>
          </w:tcPr>
          <w:p>
            <w:pPr>
              <w:spacing w:after="0"/>
              <w:jc w:val="left"/>
            </w:pPr>
            <w:r>
              <w:rPr>
                <w:rFonts w:ascii="Times New Roman" w:hAnsi="Times New Roman"/>
                <w:b w:val="0"/>
                <w:sz w:val="22"/>
              </w:rPr>
              <w:t>Özüni ödeýän wagty (ýyl)</w:t>
            </w:r>
          </w:p>
        </w:tc>
        <w:tc>
          <w:tcPr>
            <w:tcW w:type="dxa" w:w="3230"/>
            <w:vAlign w:val="center"/>
          </w:tcPr>
          <w:p>
            <w:pPr>
              <w:spacing w:after="0"/>
              <w:jc w:val="left"/>
            </w:pPr>
            <w:r>
              <w:rPr>
                <w:rFonts w:ascii="Times New Roman" w:hAnsi="Times New Roman"/>
                <w:b w:val="0"/>
                <w:sz w:val="22"/>
              </w:rPr>
              <w:t>2,24</w:t>
            </w:r>
          </w:p>
        </w:tc>
      </w:tr>
    </w:tbl>
    <w:p>
      <w:pPr>
        <w:pStyle w:val="P4"/>
        <w:spacing w:after="120"/>
        <w:jc w:val="left"/>
      </w:pPr>
      <w:r>
        <w:rPr>
          <w:rFonts w:ascii="Times New Roman" w:hAnsi="Times New Roman"/>
          <w:b/>
          <w:sz w:val="26"/>
        </w:rPr>
        <w:t>Ýyllyk ykdysady netijäniň we özüni ödeýiş möhletiniň kesgitlenilişi</w:t>
      </w:r>
    </w:p>
    <w:p>
      <w:pPr>
        <w:spacing w:after="80" w:line="276" w:lineRule="auto"/>
        <w:ind w:firstLine="560"/>
        <w:jc w:val="both"/>
      </w:pPr>
      <w:r>
        <w:rPr>
          <w:rFonts w:ascii="Times New Roman" w:hAnsi="Times New Roman"/>
          <w:b w:val="0"/>
          <w:sz w:val="24"/>
        </w:rPr>
        <w:t>Programmany ulanmagyň ykdysady netijesi tor auditine sarp edilýän wagtyň azalmagy bilen kesgitlenýär. El bilen audit geçirilende bir lokal toruň barlagy ortaça 5 sagat, programma arkaly barlag we hasabat taýýarlamak bolsa 1,25 sagat dowam edýär.</w:t>
      </w:r>
    </w:p>
    <w:p>
      <w:pPr>
        <w:spacing w:after="80"/>
        <w:ind w:firstLine="0"/>
        <w:jc w:val="center"/>
      </w:pPr>
      <w:r>
        <w:rPr>
          <w:rFonts w:ascii="Times New Roman" w:hAnsi="Times New Roman"/>
          <w:b w:val="0"/>
          <w:sz w:val="24"/>
        </w:rPr>
        <w:t>Eýyl = (Tel - Tprog) × Csag × Nýyl</w:t>
      </w:r>
    </w:p>
    <w:p>
      <w:pPr>
        <w:spacing w:after="80"/>
        <w:ind w:firstLine="0"/>
        <w:jc w:val="center"/>
      </w:pPr>
      <w:r>
        <w:rPr>
          <w:rFonts w:ascii="Times New Roman" w:hAnsi="Times New Roman"/>
          <w:b w:val="0"/>
          <w:sz w:val="24"/>
        </w:rPr>
        <w:t>Eýyl = (5 - 1,25) × 22 × 50 = 4125,00 manat</w:t>
      </w:r>
    </w:p>
    <w:p>
      <w:pPr>
        <w:spacing w:after="80" w:line="276" w:lineRule="auto"/>
        <w:ind w:firstLine="560"/>
        <w:jc w:val="both"/>
      </w:pPr>
      <w:r>
        <w:rPr>
          <w:rFonts w:ascii="Times New Roman" w:hAnsi="Times New Roman"/>
          <w:b w:val="0"/>
          <w:sz w:val="24"/>
        </w:rPr>
        <w:t>Bu ýerde Tel – el bilen audit üçin gerek bolan wagt; Tprog – programma arkaly audit üçin gerek bolan wagt; Csag – hünärmeniň bir sagatlyk tölegi; Nýyl – bir ýylda geçirilýän auditleriň sany.</w:t>
      </w:r>
    </w:p>
    <w:p>
      <w:pPr>
        <w:spacing w:after="80"/>
        <w:ind w:firstLine="0"/>
        <w:jc w:val="center"/>
      </w:pPr>
      <w:r>
        <w:rPr>
          <w:rFonts w:ascii="Times New Roman" w:hAnsi="Times New Roman"/>
          <w:b w:val="0"/>
          <w:sz w:val="24"/>
        </w:rPr>
        <w:t>Töz.öd. = K / Eýyl</w:t>
      </w:r>
    </w:p>
    <w:p>
      <w:pPr>
        <w:spacing w:after="80"/>
        <w:ind w:firstLine="0"/>
        <w:jc w:val="center"/>
      </w:pPr>
      <w:r>
        <w:rPr>
          <w:rFonts w:ascii="Times New Roman" w:hAnsi="Times New Roman"/>
          <w:b w:val="0"/>
          <w:sz w:val="24"/>
        </w:rPr>
        <w:t>Töz.öd. = 9234,72 / 4125,00 = 2,24 ýyl</w:t>
      </w:r>
    </w:p>
    <w:p>
      <w:pPr>
        <w:spacing w:after="80" w:line="276" w:lineRule="auto"/>
        <w:ind w:firstLine="560"/>
        <w:jc w:val="both"/>
      </w:pPr>
      <w:r>
        <w:rPr>
          <w:rFonts w:ascii="Times New Roman" w:hAnsi="Times New Roman"/>
          <w:b w:val="0"/>
          <w:sz w:val="24"/>
        </w:rPr>
        <w:t>Hasaplamadan görnüşi ýaly, taslamanyň özüni ödeýiş möhleti 2,24 ýyl, ýagny takmynan 2 ýyl 3 aý bolýar. Programma birnäçe tor segmentinde ýa-da ýygy-ýygydan audit geçirilýän gurşawda ulanylsa, özüni ödeýiş möhleti has hem gysgalýar.</w:t>
      </w:r>
    </w:p>
    <w:p>
      <w:pPr>
        <w:pStyle w:val="P4"/>
        <w:spacing w:after="120"/>
        <w:jc w:val="left"/>
      </w:pPr>
      <w:r>
        <w:rPr>
          <w:rFonts w:ascii="Times New Roman" w:hAnsi="Times New Roman"/>
          <w:b/>
          <w:sz w:val="26"/>
        </w:rPr>
        <w:t>Ykdysady bölüm boýunça netije</w:t>
      </w:r>
    </w:p>
    <w:p>
      <w:pPr>
        <w:spacing w:after="80" w:line="276" w:lineRule="auto"/>
        <w:ind w:firstLine="560"/>
        <w:jc w:val="both"/>
      </w:pPr>
      <w:r>
        <w:rPr>
          <w:rFonts w:ascii="Times New Roman" w:hAnsi="Times New Roman"/>
          <w:b w:val="0"/>
          <w:sz w:val="24"/>
        </w:rPr>
        <w:t>Geçirilen hasaplamalar IoT Security Scanner programma toplumynyň ykdysady taýdan maksadalaýykdygyny görkezýär. Taslama açyk çeşmeli tehnologiýalara esaslanýandygy üçin lisenziýa çykdajylary pesdir, esasy çykdajylar bolsa iş wagtyna we tehniki serişdelere degişlidir.</w:t>
      </w:r>
    </w:p>
    <w:p>
      <w:pPr>
        <w:spacing w:after="80" w:line="276" w:lineRule="auto"/>
        <w:ind w:firstLine="560"/>
        <w:jc w:val="both"/>
      </w:pPr>
      <w:r>
        <w:rPr>
          <w:rFonts w:ascii="Times New Roman" w:hAnsi="Times New Roman"/>
          <w:b w:val="0"/>
          <w:sz w:val="24"/>
        </w:rPr>
        <w:t>Programma lokal torlaryň başlangyç howpsuzlyk auditini çaltlandyrýar, PDF hasabat taýýarlamagy awtomatlaşdyrýar we administratorlaryň wagtyny tygşytlaýar. Şonuň üçin bu programma toplumyny okuw edaralarynda, kiçi kärhanalarda we ofis torlarynda ulanmak ykdysady taýdan esaslydyr.</w:t>
      </w:r>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