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20"/>
        <w:jc w:val="center"/>
      </w:pPr>
      <w:r>
        <w:rPr>
          <w:rFonts w:ascii="Times New Roman" w:hAnsi="Times New Roman"/>
          <w:b/>
          <w:sz w:val="28"/>
        </w:rPr>
        <w:t>Taslamanyň ykdysady netijeliliginiň hasaplamasy</w:t>
      </w:r>
    </w:p>
    <w:p>
      <w:pPr>
        <w:pStyle w:val="Heading2"/>
        <w:spacing w:after="120"/>
        <w:jc w:val="left"/>
      </w:pPr>
      <w:r>
        <w:rPr>
          <w:rFonts w:ascii="Times New Roman" w:hAnsi="Times New Roman"/>
          <w:b/>
          <w:sz w:val="26"/>
        </w:rPr>
        <w:t>Maýa goýum taslamalarynyň netijeliligini bahalandyrmagyň esasy ýörelgeleri</w:t>
      </w:r>
    </w:p>
    <w:p>
      <w:pPr>
        <w:spacing w:after="80" w:line="276" w:lineRule="auto"/>
        <w:ind w:firstLine="560"/>
        <w:jc w:val="both"/>
      </w:pPr>
      <w:r>
        <w:rPr>
          <w:rFonts w:ascii="Times New Roman" w:hAnsi="Times New Roman"/>
          <w:b w:val="0"/>
          <w:sz w:val="24"/>
        </w:rPr>
        <w:t>Islendik programma üpjünçiligi taslamasynyň ykdysady taýdan esaslydygyny görkezmek üçin onuň döredilmegine sarp edilýän serişdeler we taslamadan alynýan peýda deňeşdirilýär. Bu bölümde IoT Security Scanner programma toplumyny işläp taýýarlamagyň çykdajylary, zähmet talap edişi, tehniki serişdeler we programma arkaly tygşytlanýan iş wagty hasaplanylýar.</w:t>
      </w:r>
    </w:p>
    <w:p>
      <w:pPr>
        <w:spacing w:after="80" w:line="276" w:lineRule="auto"/>
        <w:ind w:firstLine="560"/>
        <w:jc w:val="both"/>
      </w:pPr>
      <w:r>
        <w:rPr>
          <w:rFonts w:ascii="Times New Roman" w:hAnsi="Times New Roman"/>
          <w:b w:val="0"/>
          <w:sz w:val="24"/>
        </w:rPr>
        <w:t>Taslamanyň ykdysady netijeliligi diňe göni girdeji bilen ölçenmeýär. Maglumat howpsuzlygy ulgamlarynda wagty tygşytlamak, tor barlagyny standartlaşdyrmak, hasabat taýýarlamagy çaltlandyrmak we howpsuzlyk töwekgelçiliklerini ir ýüze çykarmak hem ykdysady peýda hökmünde bahalandyrylýar.</w:t>
      </w:r>
    </w:p>
    <w:p>
      <w:pPr>
        <w:spacing w:after="80" w:line="276" w:lineRule="auto"/>
        <w:ind w:firstLine="560"/>
        <w:jc w:val="both"/>
      </w:pPr>
      <w:r>
        <w:rPr>
          <w:rFonts w:ascii="Times New Roman" w:hAnsi="Times New Roman"/>
          <w:b w:val="0"/>
          <w:sz w:val="24"/>
        </w:rPr>
        <w:t>IoT Security Scanner lokal Wi-Fi ýa-da Ethernet torundaky enjamlary tapýar, açyk portlary kesgitleýär, töwekgelçilik derejesini görkezýär we PDF görnüşli hasabat taýýarlaýar. Şeýlelikde, programma tor administratorynyň el bilen ýerine ýetirýän gaýtalanýan işlerini azaldýar.</w:t>
      </w:r>
    </w:p>
    <w:p>
      <w:pPr>
        <w:spacing w:after="80" w:line="276" w:lineRule="auto"/>
        <w:ind w:firstLine="560"/>
        <w:jc w:val="both"/>
      </w:pPr>
      <w:r>
        <w:rPr>
          <w:rFonts w:ascii="Times New Roman" w:hAnsi="Times New Roman"/>
          <w:b w:val="0"/>
          <w:sz w:val="24"/>
        </w:rPr>
        <w:t>Netijeliligi bahalandyrmakda aşakdaky ýörelgeler göz öňünde tutulýar:</w:t>
      </w:r>
    </w:p>
    <w:p>
      <w:pPr>
        <w:spacing w:after="80" w:line="276" w:lineRule="auto"/>
        <w:ind w:firstLine="560"/>
        <w:jc w:val="both"/>
      </w:pPr>
      <w:r>
        <w:rPr>
          <w:rFonts w:ascii="Times New Roman" w:hAnsi="Times New Roman"/>
          <w:b w:val="0"/>
          <w:sz w:val="24"/>
        </w:rPr>
        <w:t>taslamanyň ähli çykdajylaryny doly hasaba almak;</w:t>
      </w:r>
    </w:p>
    <w:p>
      <w:pPr>
        <w:spacing w:after="80" w:line="276" w:lineRule="auto"/>
        <w:ind w:firstLine="560"/>
        <w:jc w:val="both"/>
      </w:pPr>
      <w:r>
        <w:rPr>
          <w:rFonts w:ascii="Times New Roman" w:hAnsi="Times New Roman"/>
          <w:b w:val="0"/>
          <w:sz w:val="24"/>
        </w:rPr>
        <w:t>el bilen audit we programma arkaly audit ýagdaýlaryny deňeşdirmek;</w:t>
      </w:r>
    </w:p>
    <w:p>
      <w:pPr>
        <w:spacing w:after="80" w:line="276" w:lineRule="auto"/>
        <w:ind w:firstLine="560"/>
        <w:jc w:val="both"/>
      </w:pPr>
      <w:r>
        <w:rPr>
          <w:rFonts w:ascii="Times New Roman" w:hAnsi="Times New Roman"/>
          <w:b w:val="0"/>
          <w:sz w:val="24"/>
        </w:rPr>
        <w:t>açyk çeşmeli tehnologiýalaryň çykdajylary azaltmakdaky ornuny görkezmek;</w:t>
      </w:r>
    </w:p>
    <w:p>
      <w:pPr>
        <w:spacing w:after="80" w:line="276" w:lineRule="auto"/>
        <w:ind w:firstLine="560"/>
        <w:jc w:val="both"/>
      </w:pPr>
      <w:r>
        <w:rPr>
          <w:rFonts w:ascii="Times New Roman" w:hAnsi="Times New Roman"/>
          <w:b w:val="0"/>
          <w:sz w:val="24"/>
        </w:rPr>
        <w:t>wagt faktoryny we işgärleriň zähmet hakyny hasaba almak;</w:t>
      </w:r>
    </w:p>
    <w:p>
      <w:pPr>
        <w:spacing w:after="80" w:line="276" w:lineRule="auto"/>
        <w:ind w:firstLine="560"/>
        <w:jc w:val="both"/>
      </w:pPr>
      <w:r>
        <w:rPr>
          <w:rFonts w:ascii="Times New Roman" w:hAnsi="Times New Roman"/>
          <w:b w:val="0"/>
          <w:sz w:val="24"/>
        </w:rPr>
        <w:t>taslamanyň töwekgelçiliklerini we çäklendirmelerini görkezmek.</w:t>
      </w:r>
    </w:p>
    <w:p>
      <w:pPr>
        <w:pStyle w:val="Heading2"/>
        <w:spacing w:after="120"/>
        <w:jc w:val="left"/>
      </w:pPr>
      <w:r>
        <w:rPr>
          <w:rFonts w:ascii="Times New Roman" w:hAnsi="Times New Roman"/>
          <w:b/>
          <w:sz w:val="26"/>
        </w:rPr>
        <w:t>Taslamanyň netijeliligini hasaplamak üçin başlangyç maglumatlar</w:t>
      </w:r>
    </w:p>
    <w:p>
      <w:pPr>
        <w:spacing w:after="80" w:line="276" w:lineRule="auto"/>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after="80" w:line="276" w:lineRule="auto"/>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after="80" w:line="276" w:lineRule="auto"/>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Heading2"/>
        <w:spacing w:after="120"/>
        <w:jc w:val="left"/>
      </w:pPr>
      <w:r>
        <w:rPr>
          <w:rFonts w:ascii="Times New Roman" w:hAnsi="Times New Roman"/>
          <w:b/>
          <w:sz w:val="26"/>
        </w:rPr>
        <w:t>Kompauting we diskontirleme prosesleriniň mazmuny</w:t>
      </w:r>
    </w:p>
    <w:p>
      <w:pPr>
        <w:spacing w:after="80" w:line="276" w:lineRule="auto"/>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ind w:firstLine="0"/>
        <w:jc w:val="center"/>
      </w:pPr>
      <w:r>
        <w:rPr>
          <w:rFonts w:ascii="Times New Roman" w:hAnsi="Times New Roman"/>
          <w:b w:val="0"/>
          <w:sz w:val="24"/>
        </w:rPr>
        <w:t>1000 × (1 + 0,3) = 1300 manat</w:t>
      </w:r>
    </w:p>
    <w:p>
      <w:pPr>
        <w:spacing w:after="80"/>
        <w:ind w:firstLine="0"/>
        <w:jc w:val="center"/>
      </w:pPr>
      <w:r>
        <w:rPr>
          <w:rFonts w:ascii="Times New Roman" w:hAnsi="Times New Roman"/>
          <w:b w:val="0"/>
          <w:sz w:val="24"/>
        </w:rPr>
        <w:t>1000 × (1 + 0,3)^2 = 1690 manat</w:t>
      </w:r>
    </w:p>
    <w:p>
      <w:pPr>
        <w:spacing w:after="80"/>
        <w:ind w:firstLine="0"/>
        <w:jc w:val="center"/>
      </w:pPr>
      <w:r>
        <w:rPr>
          <w:rFonts w:ascii="Times New Roman" w:hAnsi="Times New Roman"/>
          <w:b w:val="0"/>
          <w:sz w:val="24"/>
        </w:rPr>
        <w:t>BC = HC(1 + K)^n</w:t>
      </w:r>
    </w:p>
    <w:p>
      <w:pPr>
        <w:spacing w:after="80" w:line="276" w:lineRule="auto"/>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ind w:firstLine="0"/>
        <w:jc w:val="center"/>
      </w:pPr>
      <w:r>
        <w:rPr>
          <w:rFonts w:ascii="Times New Roman" w:hAnsi="Times New Roman"/>
          <w:b w:val="0"/>
          <w:sz w:val="24"/>
        </w:rPr>
        <w:t>HC = BC / (1 + K)^n</w:t>
      </w:r>
    </w:p>
    <w:p>
      <w:pPr>
        <w:spacing w:after="80" w:line="276" w:lineRule="auto"/>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ind w:firstLine="0"/>
        <w:jc w:val="center"/>
      </w:pPr>
      <w:r>
        <w:rPr>
          <w:rFonts w:ascii="Times New Roman" w:hAnsi="Times New Roman"/>
          <w:b w:val="0"/>
          <w:sz w:val="24"/>
        </w:rPr>
        <w:t>HC = 1 000 000 / (1 + 0,05)^5 = 783 526,2 manat</w:t>
      </w:r>
    </w:p>
    <w:p>
      <w:pPr>
        <w:pStyle w:val="Heading2"/>
        <w:spacing w:after="120"/>
        <w:jc w:val="left"/>
      </w:pPr>
      <w:r>
        <w:rPr>
          <w:rFonts w:ascii="Times New Roman" w:hAnsi="Times New Roman"/>
          <w:b/>
          <w:sz w:val="26"/>
        </w:rPr>
        <w:t>Programma üpjünçiligi taslamasynyň ykdysady-tehniki esaslandyrylyşy</w:t>
      </w:r>
    </w:p>
    <w:p>
      <w:pPr>
        <w:spacing w:after="80" w:line="276" w:lineRule="auto"/>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after="80" w:line="276" w:lineRule="auto"/>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Heading2"/>
        <w:spacing w:after="120"/>
        <w:jc w:val="left"/>
      </w:pPr>
      <w:r>
        <w:rPr>
          <w:rFonts w:ascii="Times New Roman" w:hAnsi="Times New Roman"/>
          <w:b/>
          <w:sz w:val="26"/>
        </w:rPr>
        <w:t>Işgärleriň sanynyň we zähmet talap edişiniň hasaplanylyşy</w:t>
      </w:r>
    </w:p>
    <w:p>
      <w:pPr>
        <w:spacing w:after="80" w:line="276" w:lineRule="auto"/>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ind w:firstLine="0"/>
        <w:jc w:val="center"/>
      </w:pPr>
      <w:r>
        <w:rPr>
          <w:rFonts w:ascii="Times New Roman" w:hAnsi="Times New Roman"/>
          <w:b w:val="0"/>
          <w:sz w:val="24"/>
        </w:rPr>
        <w:t>Nsanaw = Tdb / (Tişçi × Kö.ý.ý.n)</w:t>
      </w:r>
    </w:p>
    <w:p>
      <w:pPr>
        <w:spacing w:after="80"/>
        <w:ind w:firstLine="0"/>
        <w:jc w:val="center"/>
      </w:pPr>
      <w:r>
        <w:rPr>
          <w:rFonts w:ascii="Times New Roman" w:hAnsi="Times New Roman"/>
          <w:b w:val="0"/>
          <w:sz w:val="24"/>
        </w:rPr>
        <w:t>Nsanaw = 96 / (32 × 1) = 3 işgär</w:t>
      </w:r>
    </w:p>
    <w:p>
      <w:pPr>
        <w:spacing w:after="80" w:line="276" w:lineRule="auto"/>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tcPr>
          <w:p>
            <w:pPr>
              <w:spacing w:after="0"/>
              <w:jc w:val="center"/>
            </w:pPr>
            <w:r>
              <w:rPr>
                <w:rFonts w:ascii="Times New Roman" w:hAnsi="Times New Roman"/>
                <w:b/>
                <w:sz w:val="22"/>
              </w:rPr>
              <w:t>T№</w:t>
            </w:r>
          </w:p>
        </w:tc>
        <w:tc>
          <w:tcPr>
            <w:tcW w:type="dxa" w:w="1234"/>
            <w:vAlign w:val="center"/>
          </w:tcPr>
          <w:p>
            <w:pPr>
              <w:spacing w:after="0"/>
              <w:jc w:val="center"/>
            </w:pPr>
            <w:r>
              <w:rPr>
                <w:rFonts w:ascii="Times New Roman" w:hAnsi="Times New Roman"/>
                <w:b/>
                <w:sz w:val="22"/>
              </w:rPr>
              <w:t>Işçileriň kategoriýasy</w:t>
            </w:r>
          </w:p>
        </w:tc>
        <w:tc>
          <w:tcPr>
            <w:tcW w:type="dxa" w:w="1234"/>
            <w:vAlign w:val="center"/>
          </w:tcPr>
          <w:p>
            <w:pPr>
              <w:spacing w:after="0"/>
              <w:jc w:val="center"/>
            </w:pPr>
            <w:r>
              <w:rPr>
                <w:rFonts w:ascii="Times New Roman" w:hAnsi="Times New Roman"/>
                <w:b/>
                <w:sz w:val="22"/>
              </w:rPr>
              <w:t>Sany</w:t>
            </w:r>
          </w:p>
        </w:tc>
        <w:tc>
          <w:tcPr>
            <w:tcW w:type="dxa" w:w="1234"/>
            <w:vAlign w:val="center"/>
          </w:tcPr>
          <w:p>
            <w:pPr>
              <w:spacing w:after="0"/>
              <w:jc w:val="center"/>
            </w:pPr>
            <w:r>
              <w:rPr>
                <w:rFonts w:ascii="Times New Roman" w:hAnsi="Times New Roman"/>
                <w:b/>
                <w:sz w:val="22"/>
              </w:rPr>
              <w:t>Razrýad</w:t>
            </w:r>
          </w:p>
        </w:tc>
        <w:tc>
          <w:tcPr>
            <w:tcW w:type="dxa" w:w="1234"/>
            <w:vAlign w:val="center"/>
          </w:tcPr>
          <w:p>
            <w:pPr>
              <w:spacing w:after="0"/>
              <w:jc w:val="center"/>
            </w:pPr>
            <w:r>
              <w:rPr>
                <w:rFonts w:ascii="Times New Roman" w:hAnsi="Times New Roman"/>
                <w:b/>
                <w:sz w:val="22"/>
              </w:rPr>
              <w:t>Iş şerti</w:t>
            </w:r>
          </w:p>
        </w:tc>
        <w:tc>
          <w:tcPr>
            <w:tcW w:type="dxa" w:w="1234"/>
            <w:vAlign w:val="center"/>
          </w:tcPr>
          <w:p>
            <w:pPr>
              <w:spacing w:after="0"/>
              <w:jc w:val="center"/>
            </w:pPr>
            <w:r>
              <w:rPr>
                <w:rFonts w:ascii="Times New Roman" w:hAnsi="Times New Roman"/>
                <w:b/>
                <w:sz w:val="22"/>
              </w:rPr>
              <w:t>1 sag. töleg.</w:t>
            </w:r>
          </w:p>
        </w:tc>
        <w:tc>
          <w:tcPr>
            <w:tcW w:type="dxa" w:w="1234"/>
            <w:vAlign w:val="center"/>
          </w:tcPr>
          <w:p>
            <w:pPr>
              <w:spacing w:after="0"/>
              <w:jc w:val="center"/>
            </w:pPr>
            <w:r>
              <w:rPr>
                <w:rFonts w:ascii="Times New Roman" w:hAnsi="Times New Roman"/>
                <w:b/>
                <w:sz w:val="22"/>
              </w:rPr>
              <w:t>Baýrak %</w:t>
            </w:r>
          </w:p>
        </w:tc>
      </w:tr>
      <w:tr>
        <w:tc>
          <w:tcPr>
            <w:tcW w:type="dxa" w:w="1234"/>
            <w:vAlign w:val="center"/>
          </w:tcPr>
          <w:p>
            <w:pPr>
              <w:spacing w:after="0"/>
              <w:jc w:val="center"/>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Programmist</w:t>
            </w:r>
          </w:p>
        </w:tc>
        <w:tc>
          <w:tcPr>
            <w:tcW w:type="dxa" w:w="1234"/>
            <w:vAlign w:val="center"/>
          </w:tcPr>
          <w:p>
            <w:pPr>
              <w:spacing w:after="0"/>
              <w:jc w:val="left"/>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t>Kadaly</w:t>
            </w:r>
          </w:p>
        </w:tc>
        <w:tc>
          <w:tcPr>
            <w:tcW w:type="dxa" w:w="1234"/>
            <w:vAlign w:val="center"/>
          </w:tcPr>
          <w:p>
            <w:pPr>
              <w:spacing w:after="0"/>
              <w:jc w:val="left"/>
            </w:pPr>
            <w:r>
              <w:rPr>
                <w:rFonts w:ascii="Times New Roman" w:hAnsi="Times New Roman"/>
                <w:b w:val="0"/>
                <w:sz w:val="22"/>
              </w:rPr>
              <w:t>22</w:t>
            </w:r>
          </w:p>
        </w:tc>
        <w:tc>
          <w:tcPr>
            <w:tcW w:type="dxa" w:w="1234"/>
            <w:vAlign w:val="center"/>
          </w:tcPr>
          <w:p>
            <w:pPr>
              <w:spacing w:after="0"/>
              <w:jc w:val="left"/>
            </w:pPr>
            <w:r>
              <w:rPr>
                <w:rFonts w:ascii="Times New Roman" w:hAnsi="Times New Roman"/>
                <w:b w:val="0"/>
                <w:sz w:val="22"/>
              </w:rPr>
              <w:t>10</w:t>
            </w:r>
          </w:p>
        </w:tc>
      </w:tr>
      <w:tr>
        <w:tc>
          <w:tcPr>
            <w:tcW w:type="dxa" w:w="1234"/>
            <w:vAlign w:val="center"/>
          </w:tcPr>
          <w:p>
            <w:pPr>
              <w:spacing w:after="0"/>
              <w:jc w:val="center"/>
            </w:pPr>
            <w:r>
              <w:rPr>
                <w:rFonts w:ascii="Times New Roman" w:hAnsi="Times New Roman"/>
                <w:b w:val="0"/>
                <w:sz w:val="22"/>
              </w:rPr>
              <w:t>2</w:t>
            </w:r>
          </w:p>
        </w:tc>
        <w:tc>
          <w:tcPr>
            <w:tcW w:type="dxa" w:w="1234"/>
            <w:vAlign w:val="center"/>
          </w:tcPr>
          <w:p>
            <w:pPr>
              <w:spacing w:after="0"/>
              <w:jc w:val="left"/>
            </w:pPr>
            <w:r>
              <w:rPr>
                <w:rFonts w:ascii="Times New Roman" w:hAnsi="Times New Roman"/>
                <w:b w:val="0"/>
                <w:sz w:val="22"/>
              </w:rPr>
              <w:t>Dizaýner-programmist</w:t>
            </w:r>
          </w:p>
        </w:tc>
        <w:tc>
          <w:tcPr>
            <w:tcW w:type="dxa" w:w="1234"/>
            <w:vAlign w:val="center"/>
          </w:tcPr>
          <w:p>
            <w:pPr>
              <w:spacing w:after="0"/>
              <w:jc w:val="left"/>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t>Kadaly</w:t>
            </w:r>
          </w:p>
        </w:tc>
        <w:tc>
          <w:tcPr>
            <w:tcW w:type="dxa" w:w="1234"/>
            <w:vAlign w:val="center"/>
          </w:tcPr>
          <w:p>
            <w:pPr>
              <w:spacing w:after="0"/>
              <w:jc w:val="left"/>
            </w:pPr>
            <w:r>
              <w:rPr>
                <w:rFonts w:ascii="Times New Roman" w:hAnsi="Times New Roman"/>
                <w:b w:val="0"/>
                <w:sz w:val="22"/>
              </w:rPr>
              <w:t>19</w:t>
            </w:r>
          </w:p>
        </w:tc>
        <w:tc>
          <w:tcPr>
            <w:tcW w:type="dxa" w:w="1234"/>
            <w:vAlign w:val="center"/>
          </w:tcPr>
          <w:p>
            <w:pPr>
              <w:spacing w:after="0"/>
              <w:jc w:val="left"/>
            </w:pPr>
            <w:r>
              <w:rPr>
                <w:rFonts w:ascii="Times New Roman" w:hAnsi="Times New Roman"/>
                <w:b w:val="0"/>
                <w:sz w:val="22"/>
              </w:rPr>
              <w:t>10</w:t>
            </w:r>
          </w:p>
        </w:tc>
      </w:tr>
      <w:tr>
        <w:tc>
          <w:tcPr>
            <w:tcW w:type="dxa" w:w="1234"/>
            <w:vAlign w:val="center"/>
          </w:tcPr>
          <w:p>
            <w:pPr>
              <w:spacing w:after="0"/>
              <w:jc w:val="center"/>
            </w:pPr>
            <w:r>
              <w:rPr>
                <w:rFonts w:ascii="Times New Roman" w:hAnsi="Times New Roman"/>
                <w:b w:val="0"/>
                <w:sz w:val="22"/>
              </w:rPr>
              <w:t>3</w:t>
            </w:r>
          </w:p>
        </w:tc>
        <w:tc>
          <w:tcPr>
            <w:tcW w:type="dxa" w:w="1234"/>
            <w:vAlign w:val="center"/>
          </w:tcPr>
          <w:p>
            <w:pPr>
              <w:spacing w:after="0"/>
              <w:jc w:val="left"/>
            </w:pPr>
            <w:r>
              <w:rPr>
                <w:rFonts w:ascii="Times New Roman" w:hAnsi="Times New Roman"/>
                <w:b w:val="0"/>
                <w:sz w:val="22"/>
              </w:rPr>
              <w:t>Ulgam dolandyryjy</w:t>
            </w:r>
          </w:p>
        </w:tc>
        <w:tc>
          <w:tcPr>
            <w:tcW w:type="dxa" w:w="1234"/>
            <w:vAlign w:val="center"/>
          </w:tcPr>
          <w:p>
            <w:pPr>
              <w:spacing w:after="0"/>
              <w:jc w:val="left"/>
            </w:pPr>
            <w:r>
              <w:rPr>
                <w:rFonts w:ascii="Times New Roman" w:hAnsi="Times New Roman"/>
                <w:b w:val="0"/>
                <w:sz w:val="22"/>
              </w:rPr>
              <w:t>1</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t>Kadaly</w:t>
            </w:r>
          </w:p>
        </w:tc>
        <w:tc>
          <w:tcPr>
            <w:tcW w:type="dxa" w:w="1234"/>
            <w:vAlign w:val="center"/>
          </w:tcPr>
          <w:p>
            <w:pPr>
              <w:spacing w:after="0"/>
              <w:jc w:val="left"/>
            </w:pPr>
            <w:r>
              <w:rPr>
                <w:rFonts w:ascii="Times New Roman" w:hAnsi="Times New Roman"/>
                <w:b w:val="0"/>
                <w:sz w:val="22"/>
              </w:rPr>
              <w:t>21</w:t>
            </w:r>
          </w:p>
        </w:tc>
        <w:tc>
          <w:tcPr>
            <w:tcW w:type="dxa" w:w="1234"/>
            <w:vAlign w:val="center"/>
          </w:tcPr>
          <w:p>
            <w:pPr>
              <w:spacing w:after="0"/>
              <w:jc w:val="left"/>
            </w:pPr>
            <w:r>
              <w:rPr>
                <w:rFonts w:ascii="Times New Roman" w:hAnsi="Times New Roman"/>
                <w:b w:val="0"/>
                <w:sz w:val="22"/>
              </w:rPr>
              <w:t>10</w:t>
            </w:r>
          </w:p>
        </w:tc>
      </w:tr>
      <w:tr>
        <w:tc>
          <w:tcPr>
            <w:tcW w:type="dxa" w:w="1234"/>
            <w:vAlign w:val="center"/>
          </w:tcPr>
          <w:p>
            <w:pPr>
              <w:spacing w:after="0"/>
              <w:jc w:val="center"/>
            </w:pPr>
            <w:r>
              <w:rPr>
                <w:rFonts w:ascii="Times New Roman" w:hAnsi="Times New Roman"/>
                <w:b w:val="0"/>
                <w:sz w:val="22"/>
              </w:rPr>
              <w:t>4</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5</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6</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7</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8</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9</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10</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t>11</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r>
          </w:p>
        </w:tc>
      </w:tr>
      <w:tr>
        <w:tc>
          <w:tcPr>
            <w:tcW w:type="dxa" w:w="1234"/>
            <w:vAlign w:val="center"/>
          </w:tcPr>
          <w:p>
            <w:pPr>
              <w:spacing w:after="0"/>
              <w:jc w:val="center"/>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t>Jemi:</w:t>
            </w:r>
          </w:p>
        </w:tc>
        <w:tc>
          <w:tcPr>
            <w:tcW w:type="dxa" w:w="1234"/>
            <w:vAlign w:val="center"/>
          </w:tcPr>
          <w:p>
            <w:pPr>
              <w:spacing w:after="0"/>
              <w:jc w:val="left"/>
            </w:pPr>
            <w:r>
              <w:rPr>
                <w:rFonts w:ascii="Times New Roman" w:hAnsi="Times New Roman"/>
                <w:b w:val="0"/>
                <w:sz w:val="22"/>
              </w:rPr>
              <w:t>3</w:t>
            </w:r>
          </w:p>
        </w:tc>
        <w:tc>
          <w:tcPr>
            <w:tcW w:type="dxa" w:w="1234"/>
            <w:vAlign w:val="center"/>
          </w:tcPr>
          <w:p>
            <w:pPr>
              <w:spacing w:after="0"/>
              <w:jc w:val="left"/>
            </w:pPr>
            <w:r>
              <w:rPr>
                <w:rFonts w:ascii="Times New Roman" w:hAnsi="Times New Roman"/>
                <w:b w:val="0"/>
                <w:sz w:val="22"/>
              </w:rPr>
              <w:t>-</w:t>
            </w:r>
          </w:p>
        </w:tc>
        <w:tc>
          <w:tcPr>
            <w:tcW w:type="dxa" w:w="1234"/>
            <w:vAlign w:val="center"/>
          </w:tcPr>
          <w:p>
            <w:pPr>
              <w:spacing w:after="0"/>
              <w:jc w:val="left"/>
            </w:pPr>
            <w:r>
              <w:rPr>
                <w:rFonts w:ascii="Times New Roman" w:hAnsi="Times New Roman"/>
                <w:b w:val="0"/>
                <w:sz w:val="22"/>
              </w:rPr>
            </w:r>
          </w:p>
        </w:tc>
        <w:tc>
          <w:tcPr>
            <w:tcW w:type="dxa" w:w="1234"/>
            <w:vAlign w:val="center"/>
          </w:tcPr>
          <w:p>
            <w:pPr>
              <w:spacing w:after="0"/>
              <w:jc w:val="left"/>
            </w:pPr>
            <w:r>
              <w:rPr>
                <w:rFonts w:ascii="Times New Roman" w:hAnsi="Times New Roman"/>
                <w:b w:val="0"/>
                <w:sz w:val="22"/>
              </w:rPr>
              <w:t>62</w:t>
            </w:r>
          </w:p>
        </w:tc>
        <w:tc>
          <w:tcPr>
            <w:tcW w:type="dxa" w:w="1234"/>
            <w:vAlign w:val="center"/>
          </w:tcPr>
          <w:p>
            <w:pPr>
              <w:spacing w:after="0"/>
              <w:jc w:val="left"/>
            </w:pPr>
            <w:r>
              <w:rPr>
                <w:rFonts w:ascii="Times New Roman" w:hAnsi="Times New Roman"/>
                <w:b w:val="0"/>
                <w:sz w:val="22"/>
              </w:rPr>
              <w:t>10</w:t>
            </w:r>
          </w:p>
        </w:tc>
      </w:tr>
    </w:tbl>
    <w:p>
      <w:pPr>
        <w:pStyle w:val="Heading2"/>
        <w:spacing w:after="120"/>
        <w:jc w:val="left"/>
      </w:pPr>
      <w:r>
        <w:rPr>
          <w:rFonts w:ascii="Times New Roman" w:hAnsi="Times New Roman"/>
          <w:b/>
          <w:sz w:val="26"/>
        </w:rPr>
        <w:t>Programma toplumyny işläp taýýarlamagyň bahasyny hasaplap çykarmak</w:t>
      </w:r>
    </w:p>
    <w:p>
      <w:pPr>
        <w:spacing w:after="80" w:line="276" w:lineRule="auto"/>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tcPr>
          <w:p>
            <w:pPr>
              <w:spacing w:after="0"/>
              <w:jc w:val="center"/>
            </w:pPr>
            <w:r>
              <w:rPr>
                <w:rFonts w:ascii="Times New Roman" w:hAnsi="Times New Roman"/>
                <w:b/>
                <w:sz w:val="22"/>
              </w:rPr>
              <w:t>T№</w:t>
            </w:r>
          </w:p>
        </w:tc>
        <w:tc>
          <w:tcPr>
            <w:tcW w:type="dxa" w:w="1440"/>
            <w:vAlign w:val="center"/>
          </w:tcPr>
          <w:p>
            <w:pPr>
              <w:spacing w:after="0"/>
              <w:jc w:val="center"/>
            </w:pPr>
            <w:r>
              <w:rPr>
                <w:rFonts w:ascii="Times New Roman" w:hAnsi="Times New Roman"/>
                <w:b/>
                <w:sz w:val="22"/>
              </w:rPr>
              <w:t>Ätiýaçlyk şaýlaryň görnüşi</w:t>
            </w:r>
          </w:p>
        </w:tc>
        <w:tc>
          <w:tcPr>
            <w:tcW w:type="dxa" w:w="1440"/>
            <w:vAlign w:val="center"/>
          </w:tcPr>
          <w:p>
            <w:pPr>
              <w:spacing w:after="0"/>
              <w:jc w:val="center"/>
            </w:pPr>
            <w:r>
              <w:rPr>
                <w:rFonts w:ascii="Times New Roman" w:hAnsi="Times New Roman"/>
                <w:b/>
                <w:sz w:val="22"/>
              </w:rPr>
              <w:t>Ölçeg birligi</w:t>
            </w:r>
          </w:p>
        </w:tc>
        <w:tc>
          <w:tcPr>
            <w:tcW w:type="dxa" w:w="1440"/>
            <w:vAlign w:val="center"/>
          </w:tcPr>
          <w:p>
            <w:pPr>
              <w:spacing w:after="0"/>
              <w:jc w:val="center"/>
            </w:pPr>
            <w:r>
              <w:rPr>
                <w:rFonts w:ascii="Times New Roman" w:hAnsi="Times New Roman"/>
                <w:b/>
                <w:sz w:val="22"/>
              </w:rPr>
              <w:t>Sany</w:t>
            </w:r>
          </w:p>
        </w:tc>
        <w:tc>
          <w:tcPr>
            <w:tcW w:type="dxa" w:w="1440"/>
            <w:vAlign w:val="center"/>
          </w:tcPr>
          <w:p>
            <w:pPr>
              <w:spacing w:after="0"/>
              <w:jc w:val="center"/>
            </w:pPr>
            <w:r>
              <w:rPr>
                <w:rFonts w:ascii="Times New Roman" w:hAnsi="Times New Roman"/>
                <w:b/>
                <w:sz w:val="22"/>
              </w:rPr>
              <w:t>1-niň bahasy</w:t>
            </w:r>
          </w:p>
        </w:tc>
        <w:tc>
          <w:tcPr>
            <w:tcW w:type="dxa" w:w="1440"/>
            <w:vAlign w:val="center"/>
          </w:tcPr>
          <w:p>
            <w:pPr>
              <w:spacing w:after="0"/>
              <w:jc w:val="center"/>
            </w:pPr>
            <w:r>
              <w:rPr>
                <w:rFonts w:ascii="Times New Roman" w:hAnsi="Times New Roman"/>
                <w:b/>
                <w:sz w:val="22"/>
              </w:rPr>
              <w:t>Umumy gymmaty</w:t>
            </w:r>
          </w:p>
        </w:tc>
      </w:tr>
      <w:tr>
        <w:tc>
          <w:tcPr>
            <w:tcW w:type="dxa" w:w="1440"/>
            <w:vAlign w:val="center"/>
          </w:tcPr>
          <w:p>
            <w:pPr>
              <w:spacing w:after="0"/>
              <w:jc w:val="center"/>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Kompýuter ýa-da noutbuk</w:t>
            </w:r>
          </w:p>
        </w:tc>
        <w:tc>
          <w:tcPr>
            <w:tcW w:type="dxa" w:w="1440"/>
            <w:vAlign w:val="center"/>
          </w:tcPr>
          <w:p>
            <w:pPr>
              <w:spacing w:after="0"/>
              <w:jc w:val="left"/>
            </w:pPr>
            <w:r>
              <w:rPr>
                <w:rFonts w:ascii="Times New Roman" w:hAnsi="Times New Roman"/>
                <w:b w:val="0"/>
                <w:sz w:val="22"/>
              </w:rPr>
              <w:t>San</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3200</w:t>
            </w:r>
          </w:p>
        </w:tc>
        <w:tc>
          <w:tcPr>
            <w:tcW w:type="dxa" w:w="1440"/>
            <w:vAlign w:val="center"/>
          </w:tcPr>
          <w:p>
            <w:pPr>
              <w:spacing w:after="0"/>
              <w:jc w:val="left"/>
            </w:pPr>
            <w:r>
              <w:rPr>
                <w:rFonts w:ascii="Times New Roman" w:hAnsi="Times New Roman"/>
                <w:b w:val="0"/>
                <w:sz w:val="22"/>
              </w:rPr>
              <w:t>3200</w:t>
            </w:r>
          </w:p>
        </w:tc>
      </w:tr>
      <w:tr>
        <w:tc>
          <w:tcPr>
            <w:tcW w:type="dxa" w:w="1440"/>
            <w:vAlign w:val="center"/>
          </w:tcPr>
          <w:p>
            <w:pPr>
              <w:spacing w:after="0"/>
              <w:jc w:val="center"/>
            </w:pPr>
            <w:r>
              <w:rPr>
                <w:rFonts w:ascii="Times New Roman" w:hAnsi="Times New Roman"/>
                <w:b w:val="0"/>
                <w:sz w:val="22"/>
              </w:rPr>
              <w:t>2</w:t>
            </w:r>
          </w:p>
        </w:tc>
        <w:tc>
          <w:tcPr>
            <w:tcW w:type="dxa" w:w="1440"/>
            <w:vAlign w:val="center"/>
          </w:tcPr>
          <w:p>
            <w:pPr>
              <w:spacing w:after="0"/>
              <w:jc w:val="left"/>
            </w:pPr>
            <w:r>
              <w:rPr>
                <w:rFonts w:ascii="Times New Roman" w:hAnsi="Times New Roman"/>
                <w:b w:val="0"/>
                <w:sz w:val="22"/>
              </w:rPr>
              <w:t>Test routeri we Wi-Fi enjamy</w:t>
            </w:r>
          </w:p>
        </w:tc>
        <w:tc>
          <w:tcPr>
            <w:tcW w:type="dxa" w:w="1440"/>
            <w:vAlign w:val="center"/>
          </w:tcPr>
          <w:p>
            <w:pPr>
              <w:spacing w:after="0"/>
              <w:jc w:val="left"/>
            </w:pPr>
            <w:r>
              <w:rPr>
                <w:rFonts w:ascii="Times New Roman" w:hAnsi="Times New Roman"/>
                <w:b w:val="0"/>
                <w:sz w:val="22"/>
              </w:rPr>
              <w:t>San</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420</w:t>
            </w:r>
          </w:p>
        </w:tc>
        <w:tc>
          <w:tcPr>
            <w:tcW w:type="dxa" w:w="1440"/>
            <w:vAlign w:val="center"/>
          </w:tcPr>
          <w:p>
            <w:pPr>
              <w:spacing w:after="0"/>
              <w:jc w:val="left"/>
            </w:pPr>
            <w:r>
              <w:rPr>
                <w:rFonts w:ascii="Times New Roman" w:hAnsi="Times New Roman"/>
                <w:b w:val="0"/>
                <w:sz w:val="22"/>
              </w:rPr>
              <w:t>420</w:t>
            </w:r>
          </w:p>
        </w:tc>
      </w:tr>
      <w:tr>
        <w:tc>
          <w:tcPr>
            <w:tcW w:type="dxa" w:w="1440"/>
            <w:vAlign w:val="center"/>
          </w:tcPr>
          <w:p>
            <w:pPr>
              <w:spacing w:after="0"/>
              <w:jc w:val="center"/>
            </w:pPr>
            <w:r>
              <w:rPr>
                <w:rFonts w:ascii="Times New Roman" w:hAnsi="Times New Roman"/>
                <w:b w:val="0"/>
                <w:sz w:val="22"/>
              </w:rPr>
              <w:t>3</w:t>
            </w:r>
          </w:p>
        </w:tc>
        <w:tc>
          <w:tcPr>
            <w:tcW w:type="dxa" w:w="1440"/>
            <w:vAlign w:val="center"/>
          </w:tcPr>
          <w:p>
            <w:pPr>
              <w:spacing w:after="0"/>
              <w:jc w:val="left"/>
            </w:pPr>
            <w:r>
              <w:rPr>
                <w:rFonts w:ascii="Times New Roman" w:hAnsi="Times New Roman"/>
                <w:b w:val="0"/>
                <w:sz w:val="22"/>
              </w:rPr>
              <w:t>Windows OU</w:t>
            </w:r>
          </w:p>
        </w:tc>
        <w:tc>
          <w:tcPr>
            <w:tcW w:type="dxa" w:w="1440"/>
            <w:vAlign w:val="center"/>
          </w:tcPr>
          <w:p>
            <w:pPr>
              <w:spacing w:after="0"/>
              <w:jc w:val="left"/>
            </w:pPr>
            <w:r>
              <w:rPr>
                <w:rFonts w:ascii="Times New Roman" w:hAnsi="Times New Roman"/>
                <w:b w:val="0"/>
                <w:sz w:val="22"/>
              </w:rPr>
              <w:t>San</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120</w:t>
            </w:r>
          </w:p>
        </w:tc>
        <w:tc>
          <w:tcPr>
            <w:tcW w:type="dxa" w:w="1440"/>
            <w:vAlign w:val="center"/>
          </w:tcPr>
          <w:p>
            <w:pPr>
              <w:spacing w:after="0"/>
              <w:jc w:val="left"/>
            </w:pPr>
            <w:r>
              <w:rPr>
                <w:rFonts w:ascii="Times New Roman" w:hAnsi="Times New Roman"/>
                <w:b w:val="0"/>
                <w:sz w:val="22"/>
              </w:rPr>
              <w:t>120</w:t>
            </w:r>
          </w:p>
        </w:tc>
      </w:tr>
      <w:tr>
        <w:tc>
          <w:tcPr>
            <w:tcW w:type="dxa" w:w="1440"/>
            <w:vAlign w:val="center"/>
          </w:tcPr>
          <w:p>
            <w:pPr>
              <w:spacing w:after="0"/>
              <w:jc w:val="center"/>
            </w:pPr>
            <w:r>
              <w:rPr>
                <w:rFonts w:ascii="Times New Roman" w:hAnsi="Times New Roman"/>
                <w:b w:val="0"/>
                <w:sz w:val="22"/>
              </w:rPr>
              <w:t>4</w:t>
            </w:r>
          </w:p>
        </w:tc>
        <w:tc>
          <w:tcPr>
            <w:tcW w:type="dxa" w:w="1440"/>
            <w:vAlign w:val="center"/>
          </w:tcPr>
          <w:p>
            <w:pPr>
              <w:spacing w:after="0"/>
              <w:jc w:val="left"/>
            </w:pPr>
            <w:r>
              <w:rPr>
                <w:rFonts w:ascii="Times New Roman" w:hAnsi="Times New Roman"/>
                <w:b w:val="0"/>
                <w:sz w:val="22"/>
              </w:rPr>
              <w:t>Resminama we PDF hasabat taýýarlamak serişdeleri</w:t>
            </w:r>
          </w:p>
        </w:tc>
        <w:tc>
          <w:tcPr>
            <w:tcW w:type="dxa" w:w="1440"/>
            <w:vAlign w:val="center"/>
          </w:tcPr>
          <w:p>
            <w:pPr>
              <w:spacing w:after="0"/>
              <w:jc w:val="left"/>
            </w:pPr>
            <w:r>
              <w:rPr>
                <w:rFonts w:ascii="Times New Roman" w:hAnsi="Times New Roman"/>
                <w:b w:val="0"/>
                <w:sz w:val="22"/>
              </w:rPr>
              <w:t>Toplum</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160</w:t>
            </w:r>
          </w:p>
        </w:tc>
        <w:tc>
          <w:tcPr>
            <w:tcW w:type="dxa" w:w="1440"/>
            <w:vAlign w:val="center"/>
          </w:tcPr>
          <w:p>
            <w:pPr>
              <w:spacing w:after="0"/>
              <w:jc w:val="left"/>
            </w:pPr>
            <w:r>
              <w:rPr>
                <w:rFonts w:ascii="Times New Roman" w:hAnsi="Times New Roman"/>
                <w:b w:val="0"/>
                <w:sz w:val="22"/>
              </w:rPr>
              <w:t>160</w:t>
            </w:r>
          </w:p>
        </w:tc>
      </w:tr>
      <w:tr>
        <w:tc>
          <w:tcPr>
            <w:tcW w:type="dxa" w:w="1440"/>
            <w:vAlign w:val="center"/>
          </w:tcPr>
          <w:p>
            <w:pPr>
              <w:spacing w:after="0"/>
              <w:jc w:val="center"/>
            </w:pPr>
            <w:r>
              <w:rPr>
                <w:rFonts w:ascii="Times New Roman" w:hAnsi="Times New Roman"/>
                <w:b w:val="0"/>
                <w:sz w:val="22"/>
              </w:rPr>
              <w:t>5</w:t>
            </w:r>
          </w:p>
        </w:tc>
        <w:tc>
          <w:tcPr>
            <w:tcW w:type="dxa" w:w="1440"/>
            <w:vAlign w:val="center"/>
          </w:tcPr>
          <w:p>
            <w:pPr>
              <w:spacing w:after="0"/>
              <w:jc w:val="left"/>
            </w:pPr>
            <w:r>
              <w:rPr>
                <w:rFonts w:ascii="Times New Roman" w:hAnsi="Times New Roman"/>
                <w:b w:val="0"/>
                <w:sz w:val="22"/>
              </w:rPr>
              <w:t>Python, PyQt6, Nmap we SQLite açyk çeşmeli serişdeler</w:t>
            </w:r>
          </w:p>
        </w:tc>
        <w:tc>
          <w:tcPr>
            <w:tcW w:type="dxa" w:w="1440"/>
            <w:vAlign w:val="center"/>
          </w:tcPr>
          <w:p>
            <w:pPr>
              <w:spacing w:after="0"/>
              <w:jc w:val="left"/>
            </w:pPr>
            <w:r>
              <w:rPr>
                <w:rFonts w:ascii="Times New Roman" w:hAnsi="Times New Roman"/>
                <w:b w:val="0"/>
                <w:sz w:val="22"/>
              </w:rPr>
              <w:t>Toplum</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0</w:t>
            </w:r>
          </w:p>
        </w:tc>
        <w:tc>
          <w:tcPr>
            <w:tcW w:type="dxa" w:w="1440"/>
            <w:vAlign w:val="center"/>
          </w:tcPr>
          <w:p>
            <w:pPr>
              <w:spacing w:after="0"/>
              <w:jc w:val="left"/>
            </w:pPr>
            <w:r>
              <w:rPr>
                <w:rFonts w:ascii="Times New Roman" w:hAnsi="Times New Roman"/>
                <w:b w:val="0"/>
                <w:sz w:val="22"/>
              </w:rPr>
              <w:t>0</w:t>
            </w:r>
          </w:p>
        </w:tc>
      </w:tr>
      <w:tr>
        <w:tc>
          <w:tcPr>
            <w:tcW w:type="dxa" w:w="1440"/>
            <w:vAlign w:val="center"/>
          </w:tcPr>
          <w:p>
            <w:pPr>
              <w:spacing w:after="0"/>
              <w:jc w:val="center"/>
            </w:pPr>
            <w:r>
              <w:rPr>
                <w:rFonts w:ascii="Times New Roman" w:hAnsi="Times New Roman"/>
                <w:b w:val="0"/>
                <w:sz w:val="22"/>
              </w:rPr>
              <w:t>6</w:t>
            </w:r>
          </w:p>
        </w:tc>
        <w:tc>
          <w:tcPr>
            <w:tcW w:type="dxa" w:w="1440"/>
            <w:vAlign w:val="center"/>
          </w:tcPr>
          <w:p>
            <w:pPr>
              <w:spacing w:after="0"/>
              <w:jc w:val="left"/>
            </w:pPr>
            <w:r>
              <w:rPr>
                <w:rFonts w:ascii="Times New Roman" w:hAnsi="Times New Roman"/>
                <w:b w:val="0"/>
                <w:sz w:val="22"/>
              </w:rPr>
              <w:t>USB göteriji we tor kabeli</w:t>
            </w:r>
          </w:p>
        </w:tc>
        <w:tc>
          <w:tcPr>
            <w:tcW w:type="dxa" w:w="1440"/>
            <w:vAlign w:val="center"/>
          </w:tcPr>
          <w:p>
            <w:pPr>
              <w:spacing w:after="0"/>
              <w:jc w:val="left"/>
            </w:pPr>
            <w:r>
              <w:rPr>
                <w:rFonts w:ascii="Times New Roman" w:hAnsi="Times New Roman"/>
                <w:b w:val="0"/>
                <w:sz w:val="22"/>
              </w:rPr>
              <w:t>Toplum</w:t>
            </w:r>
          </w:p>
        </w:tc>
        <w:tc>
          <w:tcPr>
            <w:tcW w:type="dxa" w:w="1440"/>
            <w:vAlign w:val="center"/>
          </w:tcPr>
          <w:p>
            <w:pPr>
              <w:spacing w:after="0"/>
              <w:jc w:val="left"/>
            </w:pPr>
            <w:r>
              <w:rPr>
                <w:rFonts w:ascii="Times New Roman" w:hAnsi="Times New Roman"/>
                <w:b w:val="0"/>
                <w:sz w:val="22"/>
              </w:rPr>
              <w:t>1</w:t>
            </w:r>
          </w:p>
        </w:tc>
        <w:tc>
          <w:tcPr>
            <w:tcW w:type="dxa" w:w="1440"/>
            <w:vAlign w:val="center"/>
          </w:tcPr>
          <w:p>
            <w:pPr>
              <w:spacing w:after="0"/>
              <w:jc w:val="left"/>
            </w:pPr>
            <w:r>
              <w:rPr>
                <w:rFonts w:ascii="Times New Roman" w:hAnsi="Times New Roman"/>
                <w:b w:val="0"/>
                <w:sz w:val="22"/>
              </w:rPr>
              <w:t>90</w:t>
            </w:r>
          </w:p>
        </w:tc>
        <w:tc>
          <w:tcPr>
            <w:tcW w:type="dxa" w:w="1440"/>
            <w:vAlign w:val="center"/>
          </w:tcPr>
          <w:p>
            <w:pPr>
              <w:spacing w:after="0"/>
              <w:jc w:val="left"/>
            </w:pPr>
            <w:r>
              <w:rPr>
                <w:rFonts w:ascii="Times New Roman" w:hAnsi="Times New Roman"/>
                <w:b w:val="0"/>
                <w:sz w:val="22"/>
              </w:rPr>
              <w:t>90</w:t>
            </w:r>
          </w:p>
        </w:tc>
      </w:tr>
      <w:tr>
        <w:tc>
          <w:tcPr>
            <w:tcW w:type="dxa" w:w="1440"/>
            <w:vAlign w:val="center"/>
          </w:tcPr>
          <w:p>
            <w:pPr>
              <w:spacing w:after="0"/>
              <w:jc w:val="center"/>
            </w:pPr>
            <w:r>
              <w:rPr>
                <w:rFonts w:ascii="Times New Roman" w:hAnsi="Times New Roman"/>
                <w:b w:val="0"/>
                <w:sz w:val="22"/>
              </w:rPr>
            </w:r>
          </w:p>
        </w:tc>
        <w:tc>
          <w:tcPr>
            <w:tcW w:type="dxa" w:w="1440"/>
            <w:vAlign w:val="center"/>
          </w:tcPr>
          <w:p>
            <w:pPr>
              <w:spacing w:after="0"/>
              <w:jc w:val="left"/>
            </w:pPr>
            <w:r>
              <w:rPr>
                <w:rFonts w:ascii="Times New Roman" w:hAnsi="Times New Roman"/>
                <w:b w:val="0"/>
                <w:sz w:val="22"/>
              </w:rPr>
              <w:t>Jemi</w:t>
            </w:r>
          </w:p>
        </w:tc>
        <w:tc>
          <w:tcPr>
            <w:tcW w:type="dxa" w:w="1440"/>
            <w:vAlign w:val="center"/>
          </w:tcPr>
          <w:p>
            <w:pPr>
              <w:spacing w:after="0"/>
              <w:jc w:val="left"/>
            </w:pPr>
            <w:r>
              <w:rPr>
                <w:rFonts w:ascii="Times New Roman" w:hAnsi="Times New Roman"/>
                <w:b w:val="0"/>
                <w:sz w:val="22"/>
              </w:rPr>
            </w:r>
          </w:p>
        </w:tc>
        <w:tc>
          <w:tcPr>
            <w:tcW w:type="dxa" w:w="1440"/>
            <w:vAlign w:val="center"/>
          </w:tcPr>
          <w:p>
            <w:pPr>
              <w:spacing w:after="0"/>
              <w:jc w:val="left"/>
            </w:pPr>
            <w:r>
              <w:rPr>
                <w:rFonts w:ascii="Times New Roman" w:hAnsi="Times New Roman"/>
                <w:b w:val="0"/>
                <w:sz w:val="22"/>
              </w:rPr>
              <w:t>6</w:t>
            </w:r>
          </w:p>
        </w:tc>
        <w:tc>
          <w:tcPr>
            <w:tcW w:type="dxa" w:w="1440"/>
            <w:vAlign w:val="center"/>
          </w:tcPr>
          <w:p>
            <w:pPr>
              <w:spacing w:after="0"/>
              <w:jc w:val="left"/>
            </w:pPr>
            <w:r>
              <w:rPr>
                <w:rFonts w:ascii="Times New Roman" w:hAnsi="Times New Roman"/>
                <w:b w:val="0"/>
                <w:sz w:val="22"/>
              </w:rPr>
            </w:r>
          </w:p>
        </w:tc>
        <w:tc>
          <w:tcPr>
            <w:tcW w:type="dxa" w:w="1440"/>
            <w:vAlign w:val="center"/>
          </w:tcPr>
          <w:p>
            <w:pPr>
              <w:spacing w:after="0"/>
              <w:jc w:val="left"/>
            </w:pPr>
            <w:r>
              <w:rPr>
                <w:rFonts w:ascii="Times New Roman" w:hAnsi="Times New Roman"/>
                <w:b w:val="0"/>
                <w:sz w:val="22"/>
              </w:rPr>
              <w:t>3990</w:t>
            </w:r>
          </w:p>
        </w:tc>
      </w:tr>
    </w:tbl>
    <w:p>
      <w:pPr>
        <w:spacing w:after="80" w:line="276" w:lineRule="auto"/>
        <w:ind w:firstLine="560"/>
        <w:jc w:val="both"/>
      </w:pPr>
      <w:r>
        <w:rPr>
          <w:rFonts w:ascii="Times New Roman" w:hAnsi="Times New Roman"/>
          <w:b w:val="0"/>
          <w:sz w:val="24"/>
        </w:rPr>
        <w:t>Transport harajatlary materiallaryň we tehniki serişdeleriň bahasynyň 10%-i möçberinde alynýar.</w:t>
      </w:r>
    </w:p>
    <w:p>
      <w:pPr>
        <w:spacing w:after="80"/>
        <w:ind w:firstLine="0"/>
        <w:jc w:val="center"/>
      </w:pPr>
      <w:r>
        <w:rPr>
          <w:rFonts w:ascii="Times New Roman" w:hAnsi="Times New Roman"/>
          <w:b w:val="0"/>
          <w:sz w:val="24"/>
        </w:rPr>
        <w:t>Ttr = M × 0,10 = 3990 × 0,10 = 399,00 manat</w:t>
      </w:r>
    </w:p>
    <w:p>
      <w:pPr>
        <w:spacing w:after="80" w:line="276" w:lineRule="auto"/>
        <w:ind w:firstLine="560"/>
        <w:jc w:val="both"/>
      </w:pPr>
      <w:r>
        <w:rPr>
          <w:rFonts w:ascii="Times New Roman" w:hAnsi="Times New Roman"/>
          <w:b w:val="0"/>
          <w:sz w:val="24"/>
        </w:rPr>
        <w:t>Ortaça sagatlaýyn töleg işgärleriň sagatlyk tölegleriniň ortaça bahasy boýunça kesgitlenilýär.</w:t>
      </w:r>
    </w:p>
    <w:p>
      <w:pPr>
        <w:spacing w:after="80"/>
        <w:ind w:firstLine="0"/>
        <w:jc w:val="center"/>
      </w:pPr>
      <w:r>
        <w:rPr>
          <w:rFonts w:ascii="Times New Roman" w:hAnsi="Times New Roman"/>
          <w:b w:val="0"/>
          <w:sz w:val="24"/>
        </w:rPr>
        <w:t>Corta = (22 + 19 + 21) / 3 = 20,67 manat/sag.</w:t>
      </w:r>
    </w:p>
    <w:p>
      <w:pPr>
        <w:spacing w:after="80"/>
        <w:ind w:firstLine="0"/>
        <w:jc w:val="center"/>
      </w:pPr>
      <w:r>
        <w:rPr>
          <w:rFonts w:ascii="Times New Roman" w:hAnsi="Times New Roman"/>
          <w:b w:val="0"/>
          <w:sz w:val="24"/>
        </w:rPr>
        <w:t>Ztar = Corta × Tdb = 20,67 × 96 = 1984,32 manat</w:t>
      </w:r>
    </w:p>
    <w:p>
      <w:pPr>
        <w:spacing w:after="80" w:line="276" w:lineRule="auto"/>
        <w:ind w:firstLine="560"/>
        <w:jc w:val="both"/>
      </w:pPr>
      <w:r>
        <w:rPr>
          <w:rFonts w:ascii="Times New Roman" w:hAnsi="Times New Roman"/>
          <w:b w:val="0"/>
          <w:sz w:val="24"/>
        </w:rPr>
        <w:t>Baýrak gaznasynyň möçberi tarif boýunça zähmet hakynyň 10%-i hökmünde kabul edilýär.</w:t>
      </w:r>
    </w:p>
    <w:p>
      <w:pPr>
        <w:spacing w:after="80"/>
        <w:ind w:firstLine="0"/>
        <w:jc w:val="center"/>
      </w:pPr>
      <w:r>
        <w:rPr>
          <w:rFonts w:ascii="Times New Roman" w:hAnsi="Times New Roman"/>
          <w:b w:val="0"/>
          <w:sz w:val="24"/>
        </w:rPr>
        <w:t>Zbaýr = Ztar × 0,10 = 198,43 manat</w:t>
      </w:r>
    </w:p>
    <w:p>
      <w:pPr>
        <w:spacing w:after="80"/>
        <w:ind w:firstLine="0"/>
        <w:jc w:val="center"/>
      </w:pPr>
      <w:r>
        <w:rPr>
          <w:rFonts w:ascii="Times New Roman" w:hAnsi="Times New Roman"/>
          <w:b w:val="0"/>
          <w:sz w:val="24"/>
        </w:rPr>
        <w:t>Zes = Ztar + Zbaýr = 2182,75 manat</w:t>
      </w:r>
    </w:p>
    <w:p>
      <w:pPr>
        <w:spacing w:after="80" w:line="276" w:lineRule="auto"/>
        <w:ind w:firstLine="560"/>
        <w:jc w:val="both"/>
      </w:pPr>
      <w:r>
        <w:rPr>
          <w:rFonts w:ascii="Times New Roman" w:hAnsi="Times New Roman"/>
          <w:b w:val="0"/>
          <w:sz w:val="24"/>
        </w:rPr>
        <w:t>Goşmaça zähmet haky esasy zähmet hakynyň 10%-i möçberinde hasaplanylýar.</w:t>
      </w:r>
    </w:p>
    <w:p>
      <w:pPr>
        <w:spacing w:after="80"/>
        <w:ind w:firstLine="0"/>
        <w:jc w:val="center"/>
      </w:pPr>
      <w:r>
        <w:rPr>
          <w:rFonts w:ascii="Times New Roman" w:hAnsi="Times New Roman"/>
          <w:b w:val="0"/>
          <w:sz w:val="24"/>
        </w:rPr>
        <w:t>Zgoşm = Zes × 0,10 = 218,28 manat</w:t>
      </w:r>
    </w:p>
    <w:p>
      <w:pPr>
        <w:spacing w:after="80"/>
        <w:ind w:firstLine="0"/>
        <w:jc w:val="center"/>
      </w:pPr>
      <w:r>
        <w:rPr>
          <w:rFonts w:ascii="Times New Roman" w:hAnsi="Times New Roman"/>
          <w:b w:val="0"/>
          <w:sz w:val="24"/>
        </w:rPr>
        <w:t>Zum = Zes + Zgoşm = 2401,03 manat</w:t>
      </w:r>
    </w:p>
    <w:p>
      <w:pPr>
        <w:spacing w:after="80" w:line="276" w:lineRule="auto"/>
        <w:ind w:firstLine="560"/>
        <w:jc w:val="both"/>
      </w:pPr>
      <w:r>
        <w:rPr>
          <w:rFonts w:ascii="Times New Roman" w:hAnsi="Times New Roman"/>
          <w:b w:val="0"/>
          <w:sz w:val="24"/>
        </w:rPr>
        <w:t>Sosial gorag üçin geçirimler umumy zähmet hakynyň 20%-i möçberinde kabul edilýär.</w:t>
      </w:r>
    </w:p>
    <w:p>
      <w:pPr>
        <w:spacing w:after="80"/>
        <w:ind w:firstLine="0"/>
        <w:jc w:val="center"/>
      </w:pPr>
      <w:r>
        <w:rPr>
          <w:rFonts w:ascii="Times New Roman" w:hAnsi="Times New Roman"/>
          <w:b w:val="0"/>
          <w:sz w:val="24"/>
        </w:rPr>
        <w:t>Ssos.gor = Zum × 0,20 = 480,21 manat</w:t>
      </w:r>
    </w:p>
    <w:p>
      <w:pPr>
        <w:spacing w:after="80" w:line="276" w:lineRule="auto"/>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ind w:firstLine="0"/>
        <w:jc w:val="center"/>
      </w:pPr>
      <w:r>
        <w:rPr>
          <w:rFonts w:ascii="Times New Roman" w:hAnsi="Times New Roman"/>
          <w:b w:val="0"/>
          <w:sz w:val="24"/>
        </w:rPr>
        <w:t>Çseh = Zes × 0,15 = 327,41 manat</w:t>
      </w:r>
    </w:p>
    <w:p>
      <w:pPr>
        <w:spacing w:after="80"/>
        <w:ind w:firstLine="0"/>
        <w:jc w:val="center"/>
      </w:pPr>
      <w:r>
        <w:rPr>
          <w:rFonts w:ascii="Times New Roman" w:hAnsi="Times New Roman"/>
          <w:b w:val="0"/>
          <w:sz w:val="24"/>
        </w:rPr>
        <w:t>Çkärh = Zes × 0,30 = 654,83 manat</w:t>
      </w:r>
    </w:p>
    <w:p>
      <w:pPr>
        <w:spacing w:after="80"/>
        <w:ind w:firstLine="0"/>
        <w:jc w:val="center"/>
      </w:pPr>
      <w:r>
        <w:rPr>
          <w:rFonts w:ascii="Times New Roman" w:hAnsi="Times New Roman"/>
          <w:b w:val="0"/>
          <w:sz w:val="24"/>
        </w:rPr>
        <w:t>Çenjam = Zes × 0,45 = 982,24 manat</w:t>
      </w:r>
    </w:p>
    <w:p>
      <w:pPr>
        <w:spacing w:after="80" w:line="276" w:lineRule="auto"/>
        <w:ind w:firstLine="560"/>
        <w:jc w:val="both"/>
      </w:pPr>
      <w:r>
        <w:rPr>
          <w:rFonts w:ascii="Times New Roman" w:hAnsi="Times New Roman"/>
          <w:b w:val="0"/>
          <w:sz w:val="24"/>
        </w:rPr>
        <w:t>Netijede IoT Security Scanner programma taslamasy boýunça ähli harajatlar aşakdaky tablisa jemlenilýär.</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pPr>
              <w:spacing w:after="0"/>
              <w:jc w:val="center"/>
            </w:pPr>
            <w:r>
              <w:rPr>
                <w:rFonts w:ascii="Times New Roman" w:hAnsi="Times New Roman"/>
                <w:b/>
                <w:sz w:val="22"/>
              </w:rPr>
              <w:t>T№</w:t>
            </w:r>
          </w:p>
        </w:tc>
        <w:tc>
          <w:tcPr>
            <w:tcW w:type="dxa" w:w="2880"/>
            <w:vAlign w:val="center"/>
          </w:tcPr>
          <w:p>
            <w:pPr>
              <w:spacing w:after="0"/>
              <w:jc w:val="center"/>
            </w:pPr>
            <w:r>
              <w:rPr>
                <w:rFonts w:ascii="Times New Roman" w:hAnsi="Times New Roman"/>
                <w:b/>
                <w:sz w:val="22"/>
              </w:rPr>
              <w:t>Maddanyň görnüşleri</w:t>
            </w:r>
          </w:p>
        </w:tc>
        <w:tc>
          <w:tcPr>
            <w:tcW w:type="dxa" w:w="2880"/>
            <w:vAlign w:val="center"/>
          </w:tcPr>
          <w:p>
            <w:pPr>
              <w:spacing w:after="0"/>
              <w:jc w:val="center"/>
            </w:pPr>
            <w:r>
              <w:rPr>
                <w:rFonts w:ascii="Times New Roman" w:hAnsi="Times New Roman"/>
                <w:b/>
                <w:sz w:val="22"/>
              </w:rPr>
              <w:t>Gymmaty (Manat)</w:t>
            </w:r>
          </w:p>
        </w:tc>
      </w:tr>
      <w:tr>
        <w:tc>
          <w:tcPr>
            <w:tcW w:type="dxa" w:w="2880"/>
            <w:vAlign w:val="center"/>
          </w:tcPr>
          <w:p>
            <w:pPr>
              <w:spacing w:after="0"/>
              <w:jc w:val="center"/>
            </w:pPr>
            <w:r>
              <w:rPr>
                <w:rFonts w:ascii="Times New Roman" w:hAnsi="Times New Roman"/>
                <w:b w:val="0"/>
                <w:sz w:val="22"/>
              </w:rPr>
              <w:t>1</w:t>
            </w:r>
          </w:p>
        </w:tc>
        <w:tc>
          <w:tcPr>
            <w:tcW w:type="dxa" w:w="2880"/>
            <w:vAlign w:val="center"/>
          </w:tcPr>
          <w:p>
            <w:pPr>
              <w:spacing w:after="0"/>
              <w:jc w:val="left"/>
            </w:pPr>
            <w:r>
              <w:rPr>
                <w:rFonts w:ascii="Times New Roman" w:hAnsi="Times New Roman"/>
                <w:b w:val="0"/>
                <w:sz w:val="22"/>
              </w:rPr>
              <w:t>Materiallar, tehniki we programma serişdeleri</w:t>
            </w:r>
          </w:p>
        </w:tc>
        <w:tc>
          <w:tcPr>
            <w:tcW w:type="dxa" w:w="2880"/>
            <w:vAlign w:val="center"/>
          </w:tcPr>
          <w:p>
            <w:pPr>
              <w:spacing w:after="0"/>
              <w:jc w:val="left"/>
            </w:pPr>
            <w:r>
              <w:rPr>
                <w:rFonts w:ascii="Times New Roman" w:hAnsi="Times New Roman"/>
                <w:b w:val="0"/>
                <w:sz w:val="22"/>
              </w:rPr>
              <w:t>3990,00</w:t>
            </w:r>
          </w:p>
        </w:tc>
      </w:tr>
      <w:tr>
        <w:tc>
          <w:tcPr>
            <w:tcW w:type="dxa" w:w="2880"/>
            <w:vAlign w:val="center"/>
          </w:tcPr>
          <w:p>
            <w:pPr>
              <w:spacing w:after="0"/>
              <w:jc w:val="center"/>
            </w:pPr>
            <w:r>
              <w:rPr>
                <w:rFonts w:ascii="Times New Roman" w:hAnsi="Times New Roman"/>
                <w:b w:val="0"/>
                <w:sz w:val="22"/>
              </w:rPr>
              <w:t>2</w:t>
            </w:r>
          </w:p>
        </w:tc>
        <w:tc>
          <w:tcPr>
            <w:tcW w:type="dxa" w:w="2880"/>
            <w:vAlign w:val="center"/>
          </w:tcPr>
          <w:p>
            <w:pPr>
              <w:spacing w:after="0"/>
              <w:jc w:val="left"/>
            </w:pPr>
            <w:r>
              <w:rPr>
                <w:rFonts w:ascii="Times New Roman" w:hAnsi="Times New Roman"/>
                <w:b w:val="0"/>
                <w:sz w:val="22"/>
              </w:rPr>
              <w:t>Transport harajatlary</w:t>
            </w:r>
          </w:p>
        </w:tc>
        <w:tc>
          <w:tcPr>
            <w:tcW w:type="dxa" w:w="2880"/>
            <w:vAlign w:val="center"/>
          </w:tcPr>
          <w:p>
            <w:pPr>
              <w:spacing w:after="0"/>
              <w:jc w:val="left"/>
            </w:pPr>
            <w:r>
              <w:rPr>
                <w:rFonts w:ascii="Times New Roman" w:hAnsi="Times New Roman"/>
                <w:b w:val="0"/>
                <w:sz w:val="22"/>
              </w:rPr>
              <w:t>399,00</w:t>
            </w:r>
          </w:p>
        </w:tc>
      </w:tr>
      <w:tr>
        <w:tc>
          <w:tcPr>
            <w:tcW w:type="dxa" w:w="2880"/>
            <w:vAlign w:val="center"/>
          </w:tcPr>
          <w:p>
            <w:pPr>
              <w:spacing w:after="0"/>
              <w:jc w:val="center"/>
            </w:pPr>
            <w:r>
              <w:rPr>
                <w:rFonts w:ascii="Times New Roman" w:hAnsi="Times New Roman"/>
                <w:b w:val="0"/>
                <w:sz w:val="22"/>
              </w:rPr>
              <w:t>3</w:t>
            </w:r>
          </w:p>
        </w:tc>
        <w:tc>
          <w:tcPr>
            <w:tcW w:type="dxa" w:w="2880"/>
            <w:vAlign w:val="center"/>
          </w:tcPr>
          <w:p>
            <w:pPr>
              <w:spacing w:after="0"/>
              <w:jc w:val="left"/>
            </w:pPr>
            <w:r>
              <w:rPr>
                <w:rFonts w:ascii="Times New Roman" w:hAnsi="Times New Roman"/>
                <w:b w:val="0"/>
                <w:sz w:val="22"/>
              </w:rPr>
              <w:t>Esasy zähmet haky</w:t>
            </w:r>
          </w:p>
        </w:tc>
        <w:tc>
          <w:tcPr>
            <w:tcW w:type="dxa" w:w="2880"/>
            <w:vAlign w:val="center"/>
          </w:tcPr>
          <w:p>
            <w:pPr>
              <w:spacing w:after="0"/>
              <w:jc w:val="left"/>
            </w:pPr>
            <w:r>
              <w:rPr>
                <w:rFonts w:ascii="Times New Roman" w:hAnsi="Times New Roman"/>
                <w:b w:val="0"/>
                <w:sz w:val="22"/>
              </w:rPr>
              <w:t>2182,75</w:t>
            </w:r>
          </w:p>
        </w:tc>
      </w:tr>
      <w:tr>
        <w:tc>
          <w:tcPr>
            <w:tcW w:type="dxa" w:w="2880"/>
            <w:vAlign w:val="center"/>
          </w:tcPr>
          <w:p>
            <w:pPr>
              <w:spacing w:after="0"/>
              <w:jc w:val="center"/>
            </w:pPr>
            <w:r>
              <w:rPr>
                <w:rFonts w:ascii="Times New Roman" w:hAnsi="Times New Roman"/>
                <w:b w:val="0"/>
                <w:sz w:val="22"/>
              </w:rPr>
              <w:t>4</w:t>
            </w:r>
          </w:p>
        </w:tc>
        <w:tc>
          <w:tcPr>
            <w:tcW w:type="dxa" w:w="2880"/>
            <w:vAlign w:val="center"/>
          </w:tcPr>
          <w:p>
            <w:pPr>
              <w:spacing w:after="0"/>
              <w:jc w:val="left"/>
            </w:pPr>
            <w:r>
              <w:rPr>
                <w:rFonts w:ascii="Times New Roman" w:hAnsi="Times New Roman"/>
                <w:b w:val="0"/>
                <w:sz w:val="22"/>
              </w:rPr>
              <w:t>Goşmaça zähmet haky</w:t>
            </w:r>
          </w:p>
        </w:tc>
        <w:tc>
          <w:tcPr>
            <w:tcW w:type="dxa" w:w="2880"/>
            <w:vAlign w:val="center"/>
          </w:tcPr>
          <w:p>
            <w:pPr>
              <w:spacing w:after="0"/>
              <w:jc w:val="left"/>
            </w:pPr>
            <w:r>
              <w:rPr>
                <w:rFonts w:ascii="Times New Roman" w:hAnsi="Times New Roman"/>
                <w:b w:val="0"/>
                <w:sz w:val="22"/>
              </w:rPr>
              <w:t>218,28</w:t>
            </w:r>
          </w:p>
        </w:tc>
      </w:tr>
      <w:tr>
        <w:tc>
          <w:tcPr>
            <w:tcW w:type="dxa" w:w="2880"/>
            <w:vAlign w:val="center"/>
          </w:tcPr>
          <w:p>
            <w:pPr>
              <w:spacing w:after="0"/>
              <w:jc w:val="center"/>
            </w:pPr>
            <w:r>
              <w:rPr>
                <w:rFonts w:ascii="Times New Roman" w:hAnsi="Times New Roman"/>
                <w:b w:val="0"/>
                <w:sz w:val="22"/>
              </w:rPr>
              <w:t>5</w:t>
            </w:r>
          </w:p>
        </w:tc>
        <w:tc>
          <w:tcPr>
            <w:tcW w:type="dxa" w:w="2880"/>
            <w:vAlign w:val="center"/>
          </w:tcPr>
          <w:p>
            <w:pPr>
              <w:spacing w:after="0"/>
              <w:jc w:val="left"/>
            </w:pPr>
            <w:r>
              <w:rPr>
                <w:rFonts w:ascii="Times New Roman" w:hAnsi="Times New Roman"/>
                <w:b w:val="0"/>
                <w:sz w:val="22"/>
              </w:rPr>
              <w:t>Sosial gorag üçin geçirimler</w:t>
            </w:r>
          </w:p>
        </w:tc>
        <w:tc>
          <w:tcPr>
            <w:tcW w:type="dxa" w:w="2880"/>
            <w:vAlign w:val="center"/>
          </w:tcPr>
          <w:p>
            <w:pPr>
              <w:spacing w:after="0"/>
              <w:jc w:val="left"/>
            </w:pPr>
            <w:r>
              <w:rPr>
                <w:rFonts w:ascii="Times New Roman" w:hAnsi="Times New Roman"/>
                <w:b w:val="0"/>
                <w:sz w:val="22"/>
              </w:rPr>
              <w:t>480,21</w:t>
            </w:r>
          </w:p>
        </w:tc>
      </w:tr>
      <w:tr>
        <w:tc>
          <w:tcPr>
            <w:tcW w:type="dxa" w:w="2880"/>
            <w:vAlign w:val="center"/>
          </w:tcPr>
          <w:p>
            <w:pPr>
              <w:spacing w:after="0"/>
              <w:jc w:val="center"/>
            </w:pPr>
            <w:r>
              <w:rPr>
                <w:rFonts w:ascii="Times New Roman" w:hAnsi="Times New Roman"/>
                <w:b w:val="0"/>
                <w:sz w:val="22"/>
              </w:rPr>
              <w:t>6</w:t>
            </w:r>
          </w:p>
        </w:tc>
        <w:tc>
          <w:tcPr>
            <w:tcW w:type="dxa" w:w="2880"/>
            <w:vAlign w:val="center"/>
          </w:tcPr>
          <w:p>
            <w:pPr>
              <w:spacing w:after="0"/>
              <w:jc w:val="left"/>
            </w:pPr>
            <w:r>
              <w:rPr>
                <w:rFonts w:ascii="Times New Roman" w:hAnsi="Times New Roman"/>
                <w:b w:val="0"/>
                <w:sz w:val="22"/>
              </w:rPr>
              <w:t>Seh boýunça çykdajylar</w:t>
            </w:r>
          </w:p>
        </w:tc>
        <w:tc>
          <w:tcPr>
            <w:tcW w:type="dxa" w:w="2880"/>
            <w:vAlign w:val="center"/>
          </w:tcPr>
          <w:p>
            <w:pPr>
              <w:spacing w:after="0"/>
              <w:jc w:val="left"/>
            </w:pPr>
            <w:r>
              <w:rPr>
                <w:rFonts w:ascii="Times New Roman" w:hAnsi="Times New Roman"/>
                <w:b w:val="0"/>
                <w:sz w:val="22"/>
              </w:rPr>
              <w:t>327,41</w:t>
            </w:r>
          </w:p>
        </w:tc>
      </w:tr>
      <w:tr>
        <w:tc>
          <w:tcPr>
            <w:tcW w:type="dxa" w:w="2880"/>
            <w:vAlign w:val="center"/>
          </w:tcPr>
          <w:p>
            <w:pPr>
              <w:spacing w:after="0"/>
              <w:jc w:val="center"/>
            </w:pPr>
            <w:r>
              <w:rPr>
                <w:rFonts w:ascii="Times New Roman" w:hAnsi="Times New Roman"/>
                <w:b w:val="0"/>
                <w:sz w:val="22"/>
              </w:rPr>
              <w:t>7</w:t>
            </w:r>
          </w:p>
        </w:tc>
        <w:tc>
          <w:tcPr>
            <w:tcW w:type="dxa" w:w="2880"/>
            <w:vAlign w:val="center"/>
          </w:tcPr>
          <w:p>
            <w:pPr>
              <w:spacing w:after="0"/>
              <w:jc w:val="left"/>
            </w:pPr>
            <w:r>
              <w:rPr>
                <w:rFonts w:ascii="Times New Roman" w:hAnsi="Times New Roman"/>
                <w:b w:val="0"/>
                <w:sz w:val="22"/>
              </w:rPr>
              <w:t>Kärhana boýunça çykdajylar</w:t>
            </w:r>
          </w:p>
        </w:tc>
        <w:tc>
          <w:tcPr>
            <w:tcW w:type="dxa" w:w="2880"/>
            <w:vAlign w:val="center"/>
          </w:tcPr>
          <w:p>
            <w:pPr>
              <w:spacing w:after="0"/>
              <w:jc w:val="left"/>
            </w:pPr>
            <w:r>
              <w:rPr>
                <w:rFonts w:ascii="Times New Roman" w:hAnsi="Times New Roman"/>
                <w:b w:val="0"/>
                <w:sz w:val="22"/>
              </w:rPr>
              <w:t>654,83</w:t>
            </w:r>
          </w:p>
        </w:tc>
      </w:tr>
      <w:tr>
        <w:tc>
          <w:tcPr>
            <w:tcW w:type="dxa" w:w="2880"/>
            <w:vAlign w:val="center"/>
          </w:tcPr>
          <w:p>
            <w:pPr>
              <w:spacing w:after="0"/>
              <w:jc w:val="center"/>
            </w:pPr>
            <w:r>
              <w:rPr>
                <w:rFonts w:ascii="Times New Roman" w:hAnsi="Times New Roman"/>
                <w:b w:val="0"/>
                <w:sz w:val="22"/>
              </w:rPr>
              <w:t>8</w:t>
            </w:r>
          </w:p>
        </w:tc>
        <w:tc>
          <w:tcPr>
            <w:tcW w:type="dxa" w:w="2880"/>
            <w:vAlign w:val="center"/>
          </w:tcPr>
          <w:p>
            <w:pPr>
              <w:spacing w:after="0"/>
              <w:jc w:val="left"/>
            </w:pPr>
            <w:r>
              <w:rPr>
                <w:rFonts w:ascii="Times New Roman" w:hAnsi="Times New Roman"/>
                <w:b w:val="0"/>
                <w:sz w:val="22"/>
              </w:rPr>
              <w:t>Enjamlara we programma gurşawyna çykdajylar</w:t>
            </w:r>
          </w:p>
        </w:tc>
        <w:tc>
          <w:tcPr>
            <w:tcW w:type="dxa" w:w="2880"/>
            <w:vAlign w:val="center"/>
          </w:tcPr>
          <w:p>
            <w:pPr>
              <w:spacing w:after="0"/>
              <w:jc w:val="left"/>
            </w:pPr>
            <w:r>
              <w:rPr>
                <w:rFonts w:ascii="Times New Roman" w:hAnsi="Times New Roman"/>
                <w:b w:val="0"/>
                <w:sz w:val="22"/>
              </w:rPr>
              <w:t>982,24</w:t>
            </w:r>
          </w:p>
        </w:tc>
      </w:tr>
      <w:tr>
        <w:tc>
          <w:tcPr>
            <w:tcW w:type="dxa" w:w="2880"/>
            <w:vAlign w:val="center"/>
          </w:tcPr>
          <w:p>
            <w:pPr>
              <w:spacing w:after="0"/>
              <w:jc w:val="center"/>
            </w:pPr>
            <w:r>
              <w:rPr>
                <w:rFonts w:ascii="Times New Roman" w:hAnsi="Times New Roman"/>
                <w:b w:val="0"/>
                <w:sz w:val="22"/>
              </w:rPr>
              <w:t>9</w:t>
            </w:r>
          </w:p>
        </w:tc>
        <w:tc>
          <w:tcPr>
            <w:tcW w:type="dxa" w:w="2880"/>
            <w:vAlign w:val="center"/>
          </w:tcPr>
          <w:p>
            <w:pPr>
              <w:spacing w:after="0"/>
              <w:jc w:val="left"/>
            </w:pPr>
            <w:r>
              <w:rPr>
                <w:rFonts w:ascii="Times New Roman" w:hAnsi="Times New Roman"/>
                <w:b w:val="0"/>
                <w:sz w:val="22"/>
              </w:rPr>
              <w:t>Jemi harajatlar</w:t>
            </w:r>
          </w:p>
        </w:tc>
        <w:tc>
          <w:tcPr>
            <w:tcW w:type="dxa" w:w="2880"/>
            <w:vAlign w:val="center"/>
          </w:tcPr>
          <w:p>
            <w:pPr>
              <w:spacing w:after="0"/>
              <w:jc w:val="left"/>
            </w:pPr>
            <w:r>
              <w:rPr>
                <w:rFonts w:ascii="Times New Roman" w:hAnsi="Times New Roman"/>
                <w:b w:val="0"/>
                <w:sz w:val="22"/>
              </w:rPr>
              <w:t>9234,72</w:t>
            </w:r>
          </w:p>
        </w:tc>
      </w:tr>
      <w:tr>
        <w:tc>
          <w:tcPr>
            <w:tcW w:type="dxa" w:w="2880"/>
            <w:vAlign w:val="center"/>
          </w:tcPr>
          <w:p>
            <w:pPr>
              <w:spacing w:after="0"/>
              <w:jc w:val="center"/>
            </w:pPr>
            <w:r>
              <w:rPr>
                <w:rFonts w:ascii="Times New Roman" w:hAnsi="Times New Roman"/>
                <w:b w:val="0"/>
                <w:sz w:val="22"/>
              </w:rPr>
              <w:t>10</w:t>
            </w:r>
          </w:p>
        </w:tc>
        <w:tc>
          <w:tcPr>
            <w:tcW w:type="dxa" w:w="2880"/>
            <w:vAlign w:val="center"/>
          </w:tcPr>
          <w:p>
            <w:pPr>
              <w:spacing w:after="0"/>
              <w:jc w:val="left"/>
            </w:pPr>
            <w:r>
              <w:rPr>
                <w:rFonts w:ascii="Times New Roman" w:hAnsi="Times New Roman"/>
                <w:b w:val="0"/>
                <w:sz w:val="22"/>
              </w:rPr>
              <w:t>Ýyllyk ykdysady netije</w:t>
            </w:r>
          </w:p>
        </w:tc>
        <w:tc>
          <w:tcPr>
            <w:tcW w:type="dxa" w:w="2880"/>
            <w:vAlign w:val="center"/>
          </w:tcPr>
          <w:p>
            <w:pPr>
              <w:spacing w:after="0"/>
              <w:jc w:val="left"/>
            </w:pPr>
            <w:r>
              <w:rPr>
                <w:rFonts w:ascii="Times New Roman" w:hAnsi="Times New Roman"/>
                <w:b w:val="0"/>
                <w:sz w:val="22"/>
              </w:rPr>
              <w:t>4125,00</w:t>
            </w:r>
          </w:p>
        </w:tc>
      </w:tr>
      <w:tr>
        <w:tc>
          <w:tcPr>
            <w:tcW w:type="dxa" w:w="2880"/>
            <w:vAlign w:val="center"/>
          </w:tcPr>
          <w:p>
            <w:pPr>
              <w:spacing w:after="0"/>
              <w:jc w:val="center"/>
            </w:pPr>
            <w:r>
              <w:rPr>
                <w:rFonts w:ascii="Times New Roman" w:hAnsi="Times New Roman"/>
                <w:b w:val="0"/>
                <w:sz w:val="22"/>
              </w:rPr>
              <w:t>11</w:t>
            </w:r>
          </w:p>
        </w:tc>
        <w:tc>
          <w:tcPr>
            <w:tcW w:type="dxa" w:w="2880"/>
            <w:vAlign w:val="center"/>
          </w:tcPr>
          <w:p>
            <w:pPr>
              <w:spacing w:after="0"/>
              <w:jc w:val="left"/>
            </w:pPr>
            <w:r>
              <w:rPr>
                <w:rFonts w:ascii="Times New Roman" w:hAnsi="Times New Roman"/>
                <w:b w:val="0"/>
                <w:sz w:val="22"/>
              </w:rPr>
              <w:t>Özüni ödeýän wagty (ýyl)</w:t>
            </w:r>
          </w:p>
        </w:tc>
        <w:tc>
          <w:tcPr>
            <w:tcW w:type="dxa" w:w="2880"/>
            <w:vAlign w:val="center"/>
          </w:tcPr>
          <w:p>
            <w:pPr>
              <w:spacing w:after="0"/>
              <w:jc w:val="left"/>
            </w:pPr>
            <w:r>
              <w:rPr>
                <w:rFonts w:ascii="Times New Roman" w:hAnsi="Times New Roman"/>
                <w:b w:val="0"/>
                <w:sz w:val="22"/>
              </w:rPr>
              <w:t>2,24</w:t>
            </w:r>
          </w:p>
        </w:tc>
      </w:tr>
    </w:tbl>
    <w:p>
      <w:pPr>
        <w:pStyle w:val="Heading2"/>
        <w:spacing w:after="120"/>
        <w:jc w:val="left"/>
      </w:pPr>
      <w:r>
        <w:rPr>
          <w:rFonts w:ascii="Times New Roman" w:hAnsi="Times New Roman"/>
          <w:b/>
          <w:sz w:val="26"/>
        </w:rPr>
        <w:t>Ýyllyk ykdysady netijäniň we özüni ödeýiş möhletiniň kesgitlenilişi</w:t>
      </w:r>
    </w:p>
    <w:p>
      <w:pPr>
        <w:spacing w:after="80" w:line="276" w:lineRule="auto"/>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ind w:firstLine="0"/>
        <w:jc w:val="center"/>
      </w:pPr>
      <w:r>
        <w:rPr>
          <w:rFonts w:ascii="Times New Roman" w:hAnsi="Times New Roman"/>
          <w:b w:val="0"/>
          <w:sz w:val="24"/>
        </w:rPr>
        <w:t>Eýyl = (Tel - Tprog) × Csag × Nýyl</w:t>
      </w:r>
    </w:p>
    <w:p>
      <w:pPr>
        <w:spacing w:after="80"/>
        <w:ind w:firstLine="0"/>
        <w:jc w:val="center"/>
      </w:pPr>
      <w:r>
        <w:rPr>
          <w:rFonts w:ascii="Times New Roman" w:hAnsi="Times New Roman"/>
          <w:b w:val="0"/>
          <w:sz w:val="24"/>
        </w:rPr>
        <w:t>Eýyl = (5 - 1,25) × 22 × 50 = 4125,00 manat</w:t>
      </w:r>
    </w:p>
    <w:p>
      <w:pPr>
        <w:spacing w:after="80" w:line="276" w:lineRule="auto"/>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ind w:firstLine="0"/>
        <w:jc w:val="center"/>
      </w:pPr>
      <w:r>
        <w:rPr>
          <w:rFonts w:ascii="Times New Roman" w:hAnsi="Times New Roman"/>
          <w:b w:val="0"/>
          <w:sz w:val="24"/>
        </w:rPr>
        <w:t>Töz.öd. = K / Eýyl</w:t>
      </w:r>
    </w:p>
    <w:p>
      <w:pPr>
        <w:spacing w:after="80"/>
        <w:ind w:firstLine="0"/>
        <w:jc w:val="center"/>
      </w:pPr>
      <w:r>
        <w:rPr>
          <w:rFonts w:ascii="Times New Roman" w:hAnsi="Times New Roman"/>
          <w:b w:val="0"/>
          <w:sz w:val="24"/>
        </w:rPr>
        <w:t>Töz.öd. = 9234,72 / 4125,00 = 2,24 ýyl</w:t>
      </w:r>
    </w:p>
    <w:p>
      <w:pPr>
        <w:spacing w:after="80" w:line="276" w:lineRule="auto"/>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pStyle w:val="Heading2"/>
        <w:spacing w:after="120"/>
        <w:jc w:val="left"/>
      </w:pPr>
      <w:r>
        <w:rPr>
          <w:rFonts w:ascii="Times New Roman" w:hAnsi="Times New Roman"/>
          <w:b/>
          <w:sz w:val="26"/>
        </w:rPr>
        <w:t>Ykdysady bölüm boýunça netije</w:t>
      </w:r>
    </w:p>
    <w:p>
      <w:pPr>
        <w:spacing w:after="80" w:line="276" w:lineRule="auto"/>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after="80" w:line="276" w:lineRule="auto"/>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