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E4" w:rsidRPr="003730E4" w:rsidRDefault="003730E4" w:rsidP="003730E4">
      <w:pPr>
        <w:tabs>
          <w:tab w:val="right" w:pos="9498"/>
        </w:tabs>
        <w:jc w:val="left"/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</w:rPr>
      </w:pP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>3GPP TSG-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ko-KR"/>
        </w:rPr>
        <w:t>RAN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 xml:space="preserve"> Meeting #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ko-KR"/>
        </w:rPr>
        <w:t>7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8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ab/>
        <w:t xml:space="preserve">Tdoc 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ko-KR"/>
        </w:rPr>
        <w:t>RP-17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2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</w:rPr>
        <w:t>530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</w:pP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Lisbon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 xml:space="preserve">, 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Portugal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 xml:space="preserve">, 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18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 xml:space="preserve"> - 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21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 xml:space="preserve"> </w:t>
      </w:r>
      <w:r w:rsidRPr="003730E4">
        <w:rPr>
          <w:rFonts w:ascii="Arial" w:eastAsia="ＭＳ 明朝" w:hAnsi="Arial" w:cs="Arial" w:hint="eastAsia"/>
          <w:b/>
          <w:bCs/>
          <w:noProof/>
          <w:kern w:val="0"/>
          <w:sz w:val="22"/>
          <w:szCs w:val="20"/>
          <w:lang w:eastAsia="zh-CN"/>
        </w:rPr>
        <w:t>Dec</w:t>
      </w:r>
      <w:r w:rsidRPr="003730E4">
        <w:rPr>
          <w:rFonts w:ascii="Arial" w:eastAsia="ＭＳ 明朝" w:hAnsi="Arial" w:cs="Arial"/>
          <w:b/>
          <w:bCs/>
          <w:noProof/>
          <w:kern w:val="0"/>
          <w:sz w:val="22"/>
          <w:szCs w:val="20"/>
          <w:lang w:eastAsia="ko-KR"/>
        </w:rPr>
        <w:t>. 2017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Cs/>
          <w:kern w:val="0"/>
          <w:sz w:val="20"/>
          <w:szCs w:val="20"/>
          <w:lang w:val="en-GB" w:eastAsia="ko-KR"/>
        </w:rPr>
      </w:pP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color w:val="0000FF"/>
          <w:kern w:val="0"/>
          <w:sz w:val="20"/>
          <w:szCs w:val="20"/>
          <w:lang w:val="en-GB" w:eastAsia="ko-KR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Title: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  <w:t>Presentation of Specification/Report to TSG</w:t>
      </w:r>
      <w:proofErr w:type="gramStart"/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:</w:t>
      </w:r>
      <w:proofErr w:type="gramEnd"/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br/>
        <w:t>TS 38.2</w:t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/>
        </w:rPr>
        <w:t>01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 xml:space="preserve"> v</w:t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zh-CN"/>
        </w:rPr>
        <w:t>2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.0.0 on NR; Physical layer; General description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</w:pP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color w:val="2F5496"/>
          <w:kern w:val="0"/>
          <w:sz w:val="20"/>
          <w:szCs w:val="20"/>
          <w:lang w:val="en-GB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Source: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/>
        </w:rPr>
        <w:t>NTT DOCOMO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</w:pP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ko-KR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Agenda item: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ko-KR"/>
        </w:rPr>
        <w:t>9.2.1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ko-KR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Release: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ko-KR"/>
        </w:rPr>
        <w:t>Rel-15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Work Item: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</w:r>
      <w:proofErr w:type="spellStart"/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NR_newRAT</w:t>
      </w:r>
      <w:proofErr w:type="spellEnd"/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-Core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zh-CN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Responsible WG: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ko-KR"/>
        </w:rPr>
        <w:t>RAN1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</w:pP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zh-CN"/>
        </w:rPr>
      </w:pP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>Document for:</w:t>
      </w:r>
      <w:r w:rsidRPr="003730E4">
        <w:rPr>
          <w:rFonts w:ascii="Arial" w:eastAsia="ＭＳ 明朝" w:hAnsi="Arial" w:cs="Arial"/>
          <w:b/>
          <w:kern w:val="0"/>
          <w:sz w:val="20"/>
          <w:szCs w:val="20"/>
          <w:lang w:val="en-GB" w:eastAsia="ko-KR"/>
        </w:rPr>
        <w:tab/>
      </w:r>
      <w:r w:rsidRPr="003730E4">
        <w:rPr>
          <w:rFonts w:ascii="Arial" w:eastAsia="ＭＳ 明朝" w:hAnsi="Arial" w:cs="Arial" w:hint="eastAsia"/>
          <w:b/>
          <w:kern w:val="0"/>
          <w:sz w:val="20"/>
          <w:szCs w:val="20"/>
          <w:lang w:val="en-GB" w:eastAsia="zh-CN"/>
        </w:rPr>
        <w:t>Approval</w:t>
      </w:r>
    </w:p>
    <w:p w:rsidR="003730E4" w:rsidRPr="003730E4" w:rsidRDefault="003730E4" w:rsidP="003730E4">
      <w:pPr>
        <w:widowControl/>
        <w:spacing w:after="60"/>
        <w:ind w:left="1985" w:hanging="1985"/>
        <w:jc w:val="left"/>
        <w:rPr>
          <w:rFonts w:ascii="Arial" w:eastAsia="ＭＳ 明朝" w:hAnsi="Arial" w:cs="Arial"/>
          <w:bCs/>
          <w:kern w:val="0"/>
          <w:sz w:val="20"/>
          <w:szCs w:val="20"/>
          <w:lang w:val="en-GB" w:eastAsia="ko-KR"/>
        </w:rPr>
      </w:pPr>
    </w:p>
    <w:p w:rsidR="003730E4" w:rsidRPr="003730E4" w:rsidRDefault="003730E4" w:rsidP="003730E4">
      <w:pPr>
        <w:widowControl/>
        <w:pBdr>
          <w:top w:val="single" w:sz="4" w:space="1" w:color="auto"/>
        </w:pBdr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</w:pPr>
      <w:r w:rsidRPr="003730E4"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  <w:t>Abstract of document:</w:t>
      </w:r>
    </w:p>
    <w:p w:rsidR="003730E4" w:rsidRPr="003730E4" w:rsidRDefault="003730E4" w:rsidP="003730E4">
      <w:pPr>
        <w:widowControl/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</w:pP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  <w:t>This contribution includes TS38.2</w:t>
      </w: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/>
        </w:rPr>
        <w:t>01</w:t>
      </w: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  <w:t xml:space="preserve"> v2.0.0 for RAN approval.</w:t>
      </w:r>
    </w:p>
    <w:p w:rsidR="003730E4" w:rsidRPr="003730E4" w:rsidRDefault="003730E4" w:rsidP="003730E4">
      <w:pPr>
        <w:widowControl/>
        <w:pBdr>
          <w:top w:val="single" w:sz="4" w:space="1" w:color="auto"/>
        </w:pBdr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</w:pPr>
      <w:r w:rsidRPr="003730E4"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  <w:t xml:space="preserve">Changes since last presentation to </w:t>
      </w:r>
      <w:r w:rsidRPr="003730E4">
        <w:rPr>
          <w:rFonts w:ascii="Times New Roman" w:eastAsia="ＭＳ 明朝" w:hAnsi="Times New Roman" w:cs="Times New Roman" w:hint="eastAsia"/>
          <w:b/>
          <w:kern w:val="0"/>
          <w:sz w:val="24"/>
          <w:szCs w:val="20"/>
          <w:lang w:val="en-GB" w:eastAsia="ko-KR"/>
        </w:rPr>
        <w:t>RAN</w:t>
      </w:r>
      <w:r w:rsidRPr="003730E4"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  <w:t xml:space="preserve"> Meeting #&lt;N&gt;:</w:t>
      </w:r>
    </w:p>
    <w:p w:rsidR="003730E4" w:rsidRPr="003730E4" w:rsidRDefault="003730E4" w:rsidP="003730E4">
      <w:pPr>
        <w:widowControl/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</w:pP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  <w:t>Additional agreements pertinent for TS38.2</w:t>
      </w: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/>
        </w:rPr>
        <w:t>01</w:t>
      </w: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  <w:t xml:space="preserve"> are included.</w:t>
      </w:r>
    </w:p>
    <w:p w:rsidR="003730E4" w:rsidRPr="003730E4" w:rsidRDefault="003730E4" w:rsidP="003730E4">
      <w:pPr>
        <w:widowControl/>
        <w:pBdr>
          <w:top w:val="single" w:sz="4" w:space="1" w:color="auto"/>
        </w:pBdr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</w:pPr>
      <w:r w:rsidRPr="003730E4"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  <w:t>Outstanding Issues:</w:t>
      </w:r>
    </w:p>
    <w:p w:rsidR="003730E4" w:rsidRPr="003730E4" w:rsidRDefault="003730E4" w:rsidP="003730E4">
      <w:pPr>
        <w:widowControl/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</w:pP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  <w:t>No outstanding issues</w:t>
      </w:r>
    </w:p>
    <w:p w:rsidR="003730E4" w:rsidRPr="003730E4" w:rsidRDefault="003730E4" w:rsidP="003730E4">
      <w:pPr>
        <w:widowControl/>
        <w:pBdr>
          <w:top w:val="single" w:sz="4" w:space="1" w:color="auto"/>
        </w:pBdr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</w:pPr>
      <w:r w:rsidRPr="003730E4"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  <w:t>Contentious Issues:</w:t>
      </w:r>
    </w:p>
    <w:p w:rsidR="003730E4" w:rsidRPr="003730E4" w:rsidRDefault="003730E4" w:rsidP="003730E4">
      <w:pPr>
        <w:widowControl/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</w:pPr>
      <w:r w:rsidRPr="003730E4">
        <w:rPr>
          <w:rFonts w:ascii="Times New Roman" w:eastAsia="ＭＳ 明朝" w:hAnsi="Times New Roman" w:cs="Times New Roman" w:hint="eastAsia"/>
          <w:kern w:val="0"/>
          <w:sz w:val="24"/>
          <w:szCs w:val="20"/>
          <w:lang w:val="en-GB" w:eastAsia="zh-CN"/>
        </w:rPr>
        <w:t>No contentious issues</w:t>
      </w:r>
    </w:p>
    <w:p w:rsidR="003730E4" w:rsidRPr="003730E4" w:rsidRDefault="003730E4" w:rsidP="003730E4">
      <w:pPr>
        <w:widowControl/>
        <w:tabs>
          <w:tab w:val="left" w:pos="3119"/>
        </w:tabs>
        <w:spacing w:after="180"/>
        <w:jc w:val="left"/>
        <w:rPr>
          <w:rFonts w:ascii="Times New Roman" w:eastAsia="ＭＳ 明朝" w:hAnsi="Times New Roman" w:cs="Times New Roman"/>
          <w:b/>
          <w:kern w:val="0"/>
          <w:sz w:val="24"/>
          <w:szCs w:val="20"/>
          <w:lang w:val="en-GB" w:eastAsia="ko-KR"/>
        </w:rPr>
      </w:pPr>
    </w:p>
    <w:p w:rsidR="003730E4" w:rsidRPr="003730E4" w:rsidRDefault="003730E4" w:rsidP="003730E4">
      <w:pPr>
        <w:widowControl/>
        <w:tabs>
          <w:tab w:val="left" w:pos="3119"/>
        </w:tabs>
        <w:jc w:val="left"/>
        <w:rPr>
          <w:rFonts w:ascii="Times New Roman" w:eastAsia="ＭＳ 明朝" w:hAnsi="Times New Roman" w:cs="Times New Roman"/>
          <w:kern w:val="0"/>
          <w:sz w:val="16"/>
          <w:szCs w:val="16"/>
          <w:u w:val="single"/>
          <w:lang w:val="en-GB" w:eastAsia="ko-KR"/>
        </w:rPr>
      </w:pPr>
      <w:r w:rsidRPr="003730E4">
        <w:rPr>
          <w:rFonts w:ascii="Times New Roman" w:eastAsia="ＭＳ 明朝" w:hAnsi="Times New Roman" w:cs="Times New Roman"/>
          <w:kern w:val="0"/>
          <w:sz w:val="16"/>
          <w:szCs w:val="16"/>
          <w:u w:val="single"/>
          <w:lang w:val="en-GB" w:eastAsia="ko-KR"/>
        </w:rPr>
        <w:t>Change history of this document:</w:t>
      </w:r>
    </w:p>
    <w:p w:rsidR="003730E4" w:rsidRPr="003730E4" w:rsidRDefault="003730E4" w:rsidP="003730E4">
      <w:pPr>
        <w:widowControl/>
        <w:tabs>
          <w:tab w:val="left" w:pos="3119"/>
        </w:tabs>
        <w:jc w:val="left"/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</w:pPr>
      <w:r w:rsidRPr="003730E4"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  <w:t>1999-11-17: original issue</w:t>
      </w:r>
    </w:p>
    <w:p w:rsidR="003730E4" w:rsidRPr="003730E4" w:rsidRDefault="003730E4" w:rsidP="003730E4">
      <w:pPr>
        <w:widowControl/>
        <w:tabs>
          <w:tab w:val="left" w:pos="3119"/>
        </w:tabs>
        <w:jc w:val="left"/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</w:pPr>
      <w:r w:rsidRPr="003730E4"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  <w:t>2007-09-06: removal of references to Working Groups; bring names of TSGs up to date; correction of typo</w:t>
      </w:r>
    </w:p>
    <w:p w:rsidR="003730E4" w:rsidRPr="003730E4" w:rsidRDefault="003730E4" w:rsidP="003730E4">
      <w:pPr>
        <w:widowControl/>
        <w:tabs>
          <w:tab w:val="left" w:pos="3119"/>
        </w:tabs>
        <w:jc w:val="left"/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</w:pPr>
      <w:r w:rsidRPr="003730E4"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  <w:t xml:space="preserve">2015-01-06: adds </w:t>
      </w:r>
      <w:proofErr w:type="spellStart"/>
      <w:r w:rsidRPr="003730E4"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  <w:t>tdoc</w:t>
      </w:r>
      <w:proofErr w:type="spellEnd"/>
      <w:r w:rsidRPr="003730E4"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  <w:t xml:space="preserve"> header &amp; removes redundant information below</w:t>
      </w:r>
    </w:p>
    <w:p w:rsidR="003730E4" w:rsidRPr="003730E4" w:rsidRDefault="003730E4" w:rsidP="003730E4">
      <w:pPr>
        <w:widowControl/>
        <w:tabs>
          <w:tab w:val="left" w:pos="3119"/>
        </w:tabs>
        <w:jc w:val="left"/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</w:pPr>
      <w:r w:rsidRPr="003730E4">
        <w:rPr>
          <w:rFonts w:ascii="Times New Roman" w:eastAsia="ＭＳ 明朝" w:hAnsi="Times New Roman" w:cs="Times New Roman"/>
          <w:kern w:val="0"/>
          <w:sz w:val="16"/>
          <w:szCs w:val="16"/>
          <w:lang w:val="en-GB" w:eastAsia="ko-KR"/>
        </w:rPr>
        <w:t>2015-02-01: more information added to the header</w:t>
      </w:r>
    </w:p>
    <w:p w:rsidR="003730E4" w:rsidRPr="003730E4" w:rsidRDefault="003730E4" w:rsidP="003730E4">
      <w:pPr>
        <w:widowControl/>
        <w:spacing w:after="180"/>
        <w:jc w:val="left"/>
        <w:rPr>
          <w:rFonts w:ascii="Times New Roman" w:eastAsia="ＭＳ 明朝" w:hAnsi="Times New Roman" w:cs="Times New Roman"/>
          <w:kern w:val="0"/>
          <w:sz w:val="20"/>
          <w:szCs w:val="20"/>
          <w:lang w:val="en-GB" w:eastAsia="ko-KR"/>
        </w:rPr>
      </w:pPr>
    </w:p>
    <w:p w:rsidR="00632FAE" w:rsidRPr="003730E4" w:rsidRDefault="00632FAE" w:rsidP="003730E4">
      <w:pPr>
        <w:rPr>
          <w:lang w:val="en-GB"/>
        </w:rPr>
      </w:pPr>
      <w:bookmarkStart w:id="0" w:name="_GoBack"/>
      <w:bookmarkEnd w:id="0"/>
    </w:p>
    <w:sectPr w:rsidR="00632FAE" w:rsidRPr="003730E4">
      <w:pgSz w:w="11898" w:h="16827"/>
      <w:pgMar w:top="1416" w:right="1133" w:bottom="1133" w:left="1133" w:header="850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E5D" w:rsidRDefault="008A7E5D" w:rsidP="00650885">
      <w:r>
        <w:separator/>
      </w:r>
    </w:p>
  </w:endnote>
  <w:endnote w:type="continuationSeparator" w:id="0">
    <w:p w:rsidR="008A7E5D" w:rsidRDefault="008A7E5D" w:rsidP="0065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E5D" w:rsidRDefault="008A7E5D" w:rsidP="00650885">
      <w:r>
        <w:separator/>
      </w:r>
    </w:p>
  </w:footnote>
  <w:footnote w:type="continuationSeparator" w:id="0">
    <w:p w:rsidR="008A7E5D" w:rsidRDefault="008A7E5D" w:rsidP="00650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4F"/>
    <w:rsid w:val="001E619C"/>
    <w:rsid w:val="003101E5"/>
    <w:rsid w:val="003730E4"/>
    <w:rsid w:val="00632FAE"/>
    <w:rsid w:val="00650885"/>
    <w:rsid w:val="008A7E5D"/>
    <w:rsid w:val="00902C4F"/>
    <w:rsid w:val="00D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8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508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08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50885"/>
  </w:style>
  <w:style w:type="paragraph" w:styleId="a7">
    <w:name w:val="footer"/>
    <w:basedOn w:val="a"/>
    <w:link w:val="a8"/>
    <w:uiPriority w:val="99"/>
    <w:unhideWhenUsed/>
    <w:rsid w:val="0065088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50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8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508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08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50885"/>
  </w:style>
  <w:style w:type="paragraph" w:styleId="a7">
    <w:name w:val="footer"/>
    <w:basedOn w:val="a"/>
    <w:link w:val="a8"/>
    <w:uiPriority w:val="99"/>
    <w:unhideWhenUsed/>
    <w:rsid w:val="0065088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5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株式会社エヌ・ティ・ティ・ドコモ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DTJ事務局</dc:creator>
  <cp:lastModifiedBy>NTT DOCOMO, INC.</cp:lastModifiedBy>
  <cp:revision>2</cp:revision>
  <dcterms:created xsi:type="dcterms:W3CDTF">2017-12-15T12:54:00Z</dcterms:created>
  <dcterms:modified xsi:type="dcterms:W3CDTF">2017-12-15T12:54:00Z</dcterms:modified>
</cp:coreProperties>
</file>