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22"/>
          <w:szCs w:val="22"/>
        </w:rPr>
      </w:pPr>
      <w:bookmarkStart w:colFirst="0" w:colLast="0" w:name="_o9jpf1oq5n2f" w:id="0"/>
      <w:bookmarkEnd w:id="0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I. Architecture and Communication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core requirement is to develop an intelligent agent orchestrated using </w:t>
      </w:r>
      <w:r w:rsidDel="00000000" w:rsidR="00000000" w:rsidRPr="00000000">
        <w:rPr>
          <w:b w:val="1"/>
          <w:color w:val="1b1c1d"/>
          <w:rtl w:val="0"/>
        </w:rPr>
        <w:t xml:space="preserve">LangGraph</w:t>
      </w:r>
      <w:r w:rsidDel="00000000" w:rsidR="00000000" w:rsidRPr="00000000">
        <w:rPr>
          <w:color w:val="1b1c1d"/>
          <w:rtl w:val="0"/>
        </w:rPr>
        <w:t xml:space="preserve"> and served by a Python web application.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Application Framework (Choice):</w:t>
      </w:r>
      <w:r w:rsidDel="00000000" w:rsidR="00000000" w:rsidRPr="00000000">
        <w:rPr>
          <w:color w:val="1b1c1d"/>
          <w:rtl w:val="0"/>
        </w:rPr>
        <w:t xml:space="preserve"> The agent service must be hosted within a standard </w:t>
      </w:r>
      <w:r w:rsidDel="00000000" w:rsidR="00000000" w:rsidRPr="00000000">
        <w:rPr>
          <w:b w:val="1"/>
          <w:color w:val="1b1c1d"/>
          <w:rtl w:val="0"/>
        </w:rPr>
        <w:t xml:space="preserve">Django Ninja</w:t>
      </w:r>
      <w:r w:rsidDel="00000000" w:rsidR="00000000" w:rsidRPr="00000000">
        <w:rPr>
          <w:color w:val="1b1c1d"/>
          <w:rtl w:val="0"/>
        </w:rPr>
        <w:t xml:space="preserve"> (preferred) </w:t>
      </w:r>
      <w:r w:rsidDel="00000000" w:rsidR="00000000" w:rsidRPr="00000000">
        <w:rPr>
          <w:b w:val="1"/>
          <w:color w:val="1b1c1d"/>
          <w:rtl w:val="0"/>
        </w:rPr>
        <w:t xml:space="preserve">OR</w:t>
      </w:r>
      <w:r w:rsidDel="00000000" w:rsidR="00000000" w:rsidRPr="00000000">
        <w:rPr>
          <w:color w:val="1b1c1d"/>
          <w:rtl w:val="0"/>
        </w:rPr>
        <w:t xml:space="preserve"> a </w:t>
      </w:r>
      <w:r w:rsidDel="00000000" w:rsidR="00000000" w:rsidRPr="00000000">
        <w:rPr>
          <w:b w:val="1"/>
          <w:color w:val="1b1c1d"/>
          <w:rtl w:val="0"/>
        </w:rPr>
        <w:t xml:space="preserve">Django </w:t>
      </w:r>
      <w:r w:rsidDel="00000000" w:rsidR="00000000" w:rsidRPr="00000000">
        <w:rPr>
          <w:color w:val="1b1c1d"/>
          <w:rtl w:val="0"/>
        </w:rPr>
        <w:t xml:space="preserve">application (using Django REST Framework)</w:t>
      </w:r>
      <w:r w:rsidDel="00000000" w:rsidR="00000000" w:rsidRPr="00000000">
        <w:rPr>
          <w:color w:val="1b1c1d"/>
          <w:rtl w:val="0"/>
        </w:rPr>
        <w:t xml:space="preserve">. The candidate must clearly state the chosen framework.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Agent Orchestration:</w:t>
      </w:r>
      <w:r w:rsidDel="00000000" w:rsidR="00000000" w:rsidRPr="00000000">
        <w:rPr>
          <w:color w:val="1b1c1d"/>
          <w:rtl w:val="0"/>
        </w:rPr>
        <w:t xml:space="preserve"> The agent's logic and state management must be handled by </w:t>
      </w:r>
      <w:r w:rsidDel="00000000" w:rsidR="00000000" w:rsidRPr="00000000">
        <w:rPr>
          <w:b w:val="1"/>
          <w:color w:val="1b1c1d"/>
          <w:rtl w:val="0"/>
        </w:rPr>
        <w:t xml:space="preserve">LangGraph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Database Flexibility:</w:t>
      </w:r>
      <w:r w:rsidDel="00000000" w:rsidR="00000000" w:rsidRPr="00000000">
        <w:rPr>
          <w:color w:val="1b1c1d"/>
          <w:rtl w:val="0"/>
        </w:rPr>
        <w:t xml:space="preserve"> The relational database can be either </w:t>
      </w:r>
      <w:r w:rsidDel="00000000" w:rsidR="00000000" w:rsidRPr="00000000">
        <w:rPr>
          <w:b w:val="1"/>
          <w:color w:val="1b1c1d"/>
          <w:rtl w:val="0"/>
        </w:rPr>
        <w:t xml:space="preserve">PostgreSQL</w:t>
      </w:r>
      <w:r w:rsidDel="00000000" w:rsidR="00000000" w:rsidRPr="00000000">
        <w:rPr>
          <w:color w:val="1b1c1d"/>
          <w:rtl w:val="0"/>
        </w:rPr>
        <w:t xml:space="preserve"> or </w:t>
      </w:r>
      <w:r w:rsidDel="00000000" w:rsidR="00000000" w:rsidRPr="00000000">
        <w:rPr>
          <w:b w:val="1"/>
          <w:color w:val="1b1c1d"/>
          <w:rtl w:val="0"/>
        </w:rPr>
        <w:t xml:space="preserve">SQLite</w:t>
      </w:r>
      <w:r w:rsidDel="00000000" w:rsidR="00000000" w:rsidRPr="00000000">
        <w:rPr>
          <w:color w:val="1b1c1d"/>
          <w:rtl w:val="0"/>
        </w:rPr>
        <w:t xml:space="preserve">. The candidate must clearly document the chosen option.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LLM Choice and Follow-up: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The developer has </w:t>
      </w:r>
      <w:r w:rsidDel="00000000" w:rsidR="00000000" w:rsidRPr="00000000">
        <w:rPr>
          <w:b w:val="1"/>
          <w:color w:val="1b1c1d"/>
          <w:rtl w:val="0"/>
        </w:rPr>
        <w:t xml:space="preserve">full flexibility</w:t>
      </w:r>
      <w:r w:rsidDel="00000000" w:rsidR="00000000" w:rsidRPr="00000000">
        <w:rPr>
          <w:color w:val="1b1c1d"/>
          <w:rtl w:val="0"/>
        </w:rPr>
        <w:t xml:space="preserve"> to choose </w:t>
      </w:r>
      <w:r w:rsidDel="00000000" w:rsidR="00000000" w:rsidRPr="00000000">
        <w:rPr>
          <w:b w:val="1"/>
          <w:color w:val="1b1c1d"/>
          <w:rtl w:val="0"/>
        </w:rPr>
        <w:t xml:space="preserve">any LLM model or architecture</w:t>
      </w:r>
      <w:r w:rsidDel="00000000" w:rsidR="00000000" w:rsidRPr="00000000">
        <w:rPr>
          <w:color w:val="1b1c1d"/>
          <w:rtl w:val="0"/>
        </w:rPr>
        <w:t xml:space="preserve"> to power the agent.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The developer should expect a </w:t>
      </w:r>
      <w:r w:rsidDel="00000000" w:rsidR="00000000" w:rsidRPr="00000000">
        <w:rPr>
          <w:b w:val="1"/>
          <w:color w:val="1b1c1d"/>
          <w:rtl w:val="0"/>
        </w:rPr>
        <w:t xml:space="preserve">follow-up interview</w:t>
      </w:r>
      <w:r w:rsidDel="00000000" w:rsidR="00000000" w:rsidRPr="00000000">
        <w:rPr>
          <w:color w:val="1b1c1d"/>
          <w:rtl w:val="0"/>
        </w:rPr>
        <w:t xml:space="preserve"> to dive deeper into the technical decisions made regarding the </w:t>
      </w:r>
      <w:r w:rsidDel="00000000" w:rsidR="00000000" w:rsidRPr="00000000">
        <w:rPr>
          <w:b w:val="1"/>
          <w:color w:val="1b1c1d"/>
          <w:rtl w:val="0"/>
        </w:rPr>
        <w:t xml:space="preserve">LangGraph design</w:t>
      </w:r>
      <w:r w:rsidDel="00000000" w:rsidR="00000000" w:rsidRPr="00000000">
        <w:rPr>
          <w:color w:val="1b1c1d"/>
          <w:rtl w:val="0"/>
        </w:rPr>
        <w:t xml:space="preserve"> and the </w:t>
      </w:r>
      <w:r w:rsidDel="00000000" w:rsidR="00000000" w:rsidRPr="00000000">
        <w:rPr>
          <w:b w:val="1"/>
          <w:color w:val="1b1c1d"/>
          <w:rtl w:val="0"/>
        </w:rPr>
        <w:t xml:space="preserve">specific LLM model/architecture</w:t>
      </w:r>
      <w:r w:rsidDel="00000000" w:rsidR="00000000" w:rsidRPr="00000000">
        <w:rPr>
          <w:color w:val="1b1c1d"/>
          <w:rtl w:val="0"/>
        </w:rPr>
        <w:t xml:space="preserve"> selected.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22"/>
          <w:szCs w:val="22"/>
        </w:rPr>
      </w:pPr>
      <w:bookmarkStart w:colFirst="0" w:colLast="0" w:name="_d7lr6zl14dqg" w:id="1"/>
      <w:bookmarkEnd w:id="1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II. API Design Standards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Agent API must strictly follow </w:t>
      </w:r>
      <w:r w:rsidDel="00000000" w:rsidR="00000000" w:rsidRPr="00000000">
        <w:rPr>
          <w:b w:val="1"/>
          <w:color w:val="1b1c1d"/>
          <w:rtl w:val="0"/>
        </w:rPr>
        <w:t xml:space="preserve">RESTful best practices</w:t>
      </w:r>
      <w:r w:rsidDel="00000000" w:rsidR="00000000" w:rsidRPr="00000000">
        <w:rPr>
          <w:color w:val="1b1c1d"/>
          <w:rtl w:val="0"/>
        </w:rPr>
        <w:t xml:space="preserve"> and align with industry standards for security and performance.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Resource Naming:</w:t>
      </w:r>
      <w:r w:rsidDel="00000000" w:rsidR="00000000" w:rsidRPr="00000000">
        <w:rPr>
          <w:color w:val="1b1c1d"/>
          <w:rtl w:val="0"/>
        </w:rPr>
        <w:t xml:space="preserve"> Use </w:t>
      </w:r>
      <w:r w:rsidDel="00000000" w:rsidR="00000000" w:rsidRPr="00000000">
        <w:rPr>
          <w:b w:val="1"/>
          <w:color w:val="1b1c1d"/>
          <w:rtl w:val="0"/>
        </w:rPr>
        <w:t xml:space="preserve">nouns</w:t>
      </w:r>
      <w:r w:rsidDel="00000000" w:rsidR="00000000" w:rsidRPr="00000000">
        <w:rPr>
          <w:color w:val="1b1c1d"/>
          <w:rtl w:val="0"/>
        </w:rPr>
        <w:t xml:space="preserve"> (plural) for resource collections.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HTTP Methods:</w:t>
      </w:r>
      <w:r w:rsidDel="00000000" w:rsidR="00000000" w:rsidRPr="00000000">
        <w:rPr>
          <w:color w:val="1b1c1d"/>
          <w:rtl w:val="0"/>
        </w:rPr>
        <w:t xml:space="preserve"> Correctly map </w:t>
      </w:r>
      <w:r w:rsidDel="00000000" w:rsidR="00000000" w:rsidRPr="00000000">
        <w:rPr>
          <w:b w:val="1"/>
          <w:color w:val="1b1c1d"/>
          <w:rtl w:val="0"/>
        </w:rPr>
        <w:t xml:space="preserve">HTTP methods</w:t>
      </w:r>
      <w:r w:rsidDel="00000000" w:rsidR="00000000" w:rsidRPr="00000000">
        <w:rPr>
          <w:color w:val="1b1c1d"/>
          <w:rtl w:val="0"/>
        </w:rPr>
        <w:t xml:space="preserve"> to actions. A single </w:t>
      </w:r>
      <w:r w:rsidDel="00000000" w:rsidR="00000000" w:rsidRPr="00000000">
        <w:rPr>
          <w:b w:val="1"/>
          <w:color w:val="1b1c1d"/>
          <w:rtl w:val="0"/>
        </w:rPr>
        <w:t xml:space="preserve">POST</w:t>
      </w:r>
      <w:r w:rsidDel="00000000" w:rsidR="00000000" w:rsidRPr="00000000">
        <w:rPr>
          <w:color w:val="1b1c1d"/>
          <w:rtl w:val="0"/>
        </w:rPr>
        <w:t xml:space="preserve"> endpoint is expected for submitting a new user query to the agent.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Status Codes:</w:t>
      </w:r>
      <w:r w:rsidDel="00000000" w:rsidR="00000000" w:rsidRPr="00000000">
        <w:rPr>
          <w:color w:val="1b1c1d"/>
          <w:rtl w:val="0"/>
        </w:rPr>
        <w:t xml:space="preserve"> Use appropriate </w:t>
      </w:r>
      <w:r w:rsidDel="00000000" w:rsidR="00000000" w:rsidRPr="00000000">
        <w:rPr>
          <w:b w:val="1"/>
          <w:color w:val="1b1c1d"/>
          <w:rtl w:val="0"/>
        </w:rPr>
        <w:t xml:space="preserve">HTTP Status Codes</w:t>
      </w:r>
      <w:r w:rsidDel="00000000" w:rsidR="00000000" w:rsidRPr="00000000">
        <w:rPr>
          <w:color w:val="1b1c1d"/>
          <w:rtl w:val="0"/>
        </w:rPr>
        <w:t xml:space="preserve"> for responses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200 OK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201 Created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400 Bad Request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401 Unauthorized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404 Not Found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500 Internal Server Error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Authentication (Mandatory):</w:t>
      </w:r>
      <w:r w:rsidDel="00000000" w:rsidR="00000000" w:rsidRPr="00000000">
        <w:rPr>
          <w:color w:val="1b1c1d"/>
          <w:rtl w:val="0"/>
        </w:rPr>
        <w:t xml:space="preserve"> All communication with API endpoints must be secured using </w:t>
      </w:r>
      <w:r w:rsidDel="00000000" w:rsidR="00000000" w:rsidRPr="00000000">
        <w:rPr>
          <w:b w:val="1"/>
          <w:color w:val="1b1c1d"/>
          <w:rtl w:val="0"/>
        </w:rPr>
        <w:t xml:space="preserve">JSON Web Token (JWT)</w:t>
      </w:r>
      <w:r w:rsidDel="00000000" w:rsidR="00000000" w:rsidRPr="00000000">
        <w:rPr>
          <w:color w:val="1b1c1d"/>
          <w:rtl w:val="0"/>
        </w:rPr>
        <w:t xml:space="preserve"> authentication, returning a </w:t>
      </w:r>
      <w:r w:rsidDel="00000000" w:rsidR="00000000" w:rsidRPr="00000000">
        <w:rPr>
          <w:b w:val="1"/>
          <w:color w:val="1b1c1d"/>
          <w:rtl w:val="0"/>
        </w:rPr>
        <w:t xml:space="preserve">401 Unauthorized</w:t>
      </w:r>
      <w:r w:rsidDel="00000000" w:rsidR="00000000" w:rsidRPr="00000000">
        <w:rPr>
          <w:color w:val="1b1c1d"/>
          <w:rtl w:val="0"/>
        </w:rPr>
        <w:t xml:space="preserve"> response if the token is missing or invalid.</w:t>
      </w:r>
    </w:p>
    <w:p w:rsidR="00000000" w:rsidDel="00000000" w:rsidP="00000000" w:rsidRDefault="00000000" w:rsidRPr="00000000" w14:paraId="0000000F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22"/>
          <w:szCs w:val="22"/>
        </w:rPr>
      </w:pPr>
      <w:bookmarkStart w:colFirst="0" w:colLast="0" w:name="_91jqvxzd5puk" w:id="2"/>
      <w:bookmarkEnd w:id="2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III. Agent Capabilities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LangGraph agent must function as a router, deciding whether to execute a Text-to-SQL task or a Document RAG task based on the user's query.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8lyndqozbn77" w:id="3"/>
      <w:bookmarkEnd w:id="3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A. Text-to-SQL (T2SQL) Requirement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agent must interpret natural language queries into SQL using Vanna.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T2SQL Library:</w:t>
      </w:r>
      <w:r w:rsidDel="00000000" w:rsidR="00000000" w:rsidRPr="00000000">
        <w:rPr>
          <w:color w:val="1b1c1d"/>
          <w:rtl w:val="0"/>
        </w:rPr>
        <w:t xml:space="preserve"> The </w:t>
      </w:r>
      <w:r w:rsidDel="00000000" w:rsidR="00000000" w:rsidRPr="00000000">
        <w:rPr>
          <w:b w:val="1"/>
          <w:color w:val="1b1c1d"/>
          <w:rtl w:val="0"/>
        </w:rPr>
        <w:t xml:space="preserve">Vanna</w:t>
      </w:r>
      <w:r w:rsidDel="00000000" w:rsidR="00000000" w:rsidRPr="00000000">
        <w:rPr>
          <w:color w:val="1b1c1d"/>
          <w:rtl w:val="0"/>
        </w:rPr>
        <w:t xml:space="preserve"> framework must be used to provide the Text-to-SQL capability.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Vector Store: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ChromaDB</w:t>
      </w:r>
      <w:r w:rsidDel="00000000" w:rsidR="00000000" w:rsidRPr="00000000">
        <w:rPr>
          <w:color w:val="1b1c1d"/>
          <w:rtl w:val="0"/>
        </w:rPr>
        <w:t xml:space="preserve"> must be used as the vector store to host Vanna's training data (DDL, documentation, SQL examples).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Agent Capability:</w:t>
      </w:r>
      <w:r w:rsidDel="00000000" w:rsidR="00000000" w:rsidRPr="00000000">
        <w:rPr>
          <w:color w:val="1b1c1d"/>
          <w:rtl w:val="0"/>
        </w:rPr>
        <w:t xml:space="preserve"> The agent must interpret a natural language query, utilize a </w:t>
      </w:r>
      <w:r w:rsidDel="00000000" w:rsidR="00000000" w:rsidRPr="00000000">
        <w:rPr>
          <w:b w:val="1"/>
          <w:color w:val="1b1c1d"/>
          <w:rtl w:val="0"/>
        </w:rPr>
        <w:t xml:space="preserve">Vanna tool</w:t>
      </w:r>
      <w:r w:rsidDel="00000000" w:rsidR="00000000" w:rsidRPr="00000000">
        <w:rPr>
          <w:color w:val="1b1c1d"/>
          <w:rtl w:val="0"/>
        </w:rPr>
        <w:t xml:space="preserve"> to generate and execute the appropriate SQL query against the relational database, and return a meaningful, natural language response based on the result.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Data Handling:</w:t>
      </w:r>
      <w:r w:rsidDel="00000000" w:rsidR="00000000" w:rsidRPr="00000000">
        <w:rPr>
          <w:color w:val="1b1c1d"/>
          <w:rtl w:val="0"/>
        </w:rPr>
        <w:t xml:space="preserve"> The chosen relational database should contain a sample schema and data sufficient to demonstrate the T2SQL capability.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anmmw1jxwdrw" w:id="4"/>
      <w:bookmarkEnd w:id="4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B. Document RAG Requirement (Brochures)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agent must be able to retrieve information directly from provided unstructured documents (brochures).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Vector Store:</w:t>
      </w:r>
      <w:r w:rsidDel="00000000" w:rsidR="00000000" w:rsidRPr="00000000">
        <w:rPr>
          <w:color w:val="1b1c1d"/>
          <w:rtl w:val="0"/>
        </w:rPr>
        <w:t xml:space="preserve"> The processed brochure data must be stored and searched using </w:t>
      </w:r>
      <w:r w:rsidDel="00000000" w:rsidR="00000000" w:rsidRPr="00000000">
        <w:rPr>
          <w:b w:val="1"/>
          <w:color w:val="1b1c1d"/>
          <w:rtl w:val="0"/>
        </w:rPr>
        <w:t xml:space="preserve">ChromaDB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Agent Capability:</w:t>
      </w:r>
      <w:r w:rsidDel="00000000" w:rsidR="00000000" w:rsidRPr="00000000">
        <w:rPr>
          <w:color w:val="1b1c1d"/>
          <w:rtl w:val="0"/>
        </w:rPr>
        <w:t xml:space="preserve"> The LangGraph agent must utilize a </w:t>
      </w:r>
      <w:r w:rsidDel="00000000" w:rsidR="00000000" w:rsidRPr="00000000">
        <w:rPr>
          <w:b w:val="1"/>
          <w:color w:val="1b1c1d"/>
          <w:rtl w:val="0"/>
        </w:rPr>
        <w:t xml:space="preserve">Document RAG tool</w:t>
      </w:r>
      <w:r w:rsidDel="00000000" w:rsidR="00000000" w:rsidRPr="00000000">
        <w:rPr>
          <w:color w:val="1b1c1d"/>
          <w:rtl w:val="0"/>
        </w:rPr>
        <w:t xml:space="preserve"> to perform a semantic search against the brochure vectors in ChromaDB, retrieve the most relevant text chunks, and use the LLM to synthesize an accurate, natural language answer.</w:t>
      </w:r>
    </w:p>
    <w:p w:rsidR="00000000" w:rsidDel="00000000" w:rsidP="00000000" w:rsidRDefault="00000000" w:rsidRPr="00000000" w14:paraId="0000001C">
      <w:pPr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IV. Development Requirements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Codebase:</w:t>
      </w:r>
      <w:r w:rsidDel="00000000" w:rsidR="00000000" w:rsidRPr="00000000">
        <w:rPr>
          <w:color w:val="1b1c1d"/>
          <w:rtl w:val="0"/>
        </w:rPr>
        <w:t xml:space="preserve"> A complete, working codebase containing the application framework and the full LangGraph agent.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Dependencies:</w:t>
      </w:r>
      <w:r w:rsidDel="00000000" w:rsidR="00000000" w:rsidRPr="00000000">
        <w:rPr>
          <w:color w:val="1b1c1d"/>
          <w:rtl w:val="0"/>
        </w:rPr>
        <w:t xml:space="preserve"> A clear and reproducible list of project dependencies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requirements.txt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Document Ingestion API (Mandatory):</w:t>
      </w:r>
      <w:r w:rsidDel="00000000" w:rsidR="00000000" w:rsidRPr="00000000">
        <w:rPr>
          <w:color w:val="1b1c1d"/>
          <w:rtl w:val="0"/>
        </w:rPr>
        <w:t xml:space="preserve"> A dedicated </w:t>
      </w:r>
      <w:r w:rsidDel="00000000" w:rsidR="00000000" w:rsidRPr="00000000">
        <w:rPr>
          <w:b w:val="1"/>
          <w:color w:val="1b1c1d"/>
          <w:rtl w:val="0"/>
        </w:rPr>
        <w:t xml:space="preserve">upload endpoint</w:t>
      </w:r>
      <w:r w:rsidDel="00000000" w:rsidR="00000000" w:rsidRPr="00000000">
        <w:rPr>
          <w:color w:val="1b1c1d"/>
          <w:rtl w:val="0"/>
        </w:rPr>
        <w:t xml:space="preserve"> must be created to handle the ingestion of brochure documents. This endpoint will trigger the following pipeline: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File Upload:</w:t>
      </w:r>
      <w:r w:rsidDel="00000000" w:rsidR="00000000" w:rsidRPr="00000000">
        <w:rPr>
          <w:color w:val="1b1c1d"/>
          <w:rtl w:val="0"/>
        </w:rPr>
        <w:t xml:space="preserve"> Accepts the brochure file(s).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Chunking/Splitting:</w:t>
      </w:r>
      <w:r w:rsidDel="00000000" w:rsidR="00000000" w:rsidRPr="00000000">
        <w:rPr>
          <w:color w:val="1b1c1d"/>
          <w:rtl w:val="0"/>
        </w:rPr>
        <w:t xml:space="preserve"> Implements a strategy (e.g., recursive text splitting) to break the brochures into manageable chunks.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Embedding:</w:t>
      </w:r>
      <w:r w:rsidDel="00000000" w:rsidR="00000000" w:rsidRPr="00000000">
        <w:rPr>
          <w:color w:val="1b1c1d"/>
          <w:rtl w:val="0"/>
        </w:rPr>
        <w:t xml:space="preserve"> Uses an appropriate </w:t>
      </w:r>
      <w:r w:rsidDel="00000000" w:rsidR="00000000" w:rsidRPr="00000000">
        <w:rPr>
          <w:b w:val="1"/>
          <w:color w:val="1b1c1d"/>
          <w:rtl w:val="0"/>
        </w:rPr>
        <w:t xml:space="preserve">Embedding Model</w:t>
      </w:r>
      <w:r w:rsidDel="00000000" w:rsidR="00000000" w:rsidRPr="00000000">
        <w:rPr>
          <w:color w:val="1b1c1d"/>
          <w:rtl w:val="0"/>
        </w:rPr>
        <w:t xml:space="preserve"> (must be documented) to convert the text chunks into vectors.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Storage:</w:t>
      </w:r>
      <w:r w:rsidDel="00000000" w:rsidR="00000000" w:rsidRPr="00000000">
        <w:rPr>
          <w:color w:val="1b1c1d"/>
          <w:rtl w:val="0"/>
        </w:rPr>
        <w:t xml:space="preserve"> Stores these vectors, the original chunks, and relevant metadata in </w:t>
      </w:r>
      <w:r w:rsidDel="00000000" w:rsidR="00000000" w:rsidRPr="00000000">
        <w:rPr>
          <w:b w:val="1"/>
          <w:color w:val="1b1c1d"/>
          <w:rtl w:val="0"/>
        </w:rPr>
        <w:t xml:space="preserve">ChromaDB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Documentation:</w:t>
      </w:r>
      <w:r w:rsidDel="00000000" w:rsidR="00000000" w:rsidRPr="00000000">
        <w:rPr>
          <w:color w:val="1b1c1d"/>
          <w:rtl w:val="0"/>
        </w:rPr>
        <w:t xml:space="preserve"> Clear instructions on environment setup, configuration of both databases, and usage of the </w:t>
      </w:r>
      <w:r w:rsidDel="00000000" w:rsidR="00000000" w:rsidRPr="00000000">
        <w:rPr>
          <w:b w:val="1"/>
          <w:color w:val="1b1c1d"/>
          <w:rtl w:val="0"/>
        </w:rPr>
        <w:t xml:space="preserve">Document Ingestion API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V. Testing and Evaluation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robust testing and evaluation suite is mandatory.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Testing Framework (Mandatory):</w:t>
      </w:r>
      <w:r w:rsidDel="00000000" w:rsidR="00000000" w:rsidRPr="00000000">
        <w:rPr>
          <w:color w:val="1b1c1d"/>
          <w:rtl w:val="0"/>
        </w:rPr>
        <w:t xml:space="preserve"> All tests must be written using </w:t>
      </w:r>
      <w:r w:rsidDel="00000000" w:rsidR="00000000" w:rsidRPr="00000000">
        <w:rPr>
          <w:b w:val="1"/>
          <w:color w:val="1b1c1d"/>
          <w:rtl w:val="0"/>
        </w:rPr>
        <w:t xml:space="preserve">Pytest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Unit/Integration Testing:</w:t>
      </w:r>
      <w:r w:rsidDel="00000000" w:rsidR="00000000" w:rsidRPr="00000000">
        <w:rPr>
          <w:color w:val="1b1c1d"/>
          <w:rtl w:val="0"/>
        </w:rPr>
        <w:t xml:space="preserve"> Thorough tests for the API workflow, Document Upload/Ingestion flow, T2SQL flow, and the Document RAG retrieval and generation.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Agent Evaluation (DeepEval):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The agent's performance must be evaluated using the </w:t>
      </w:r>
      <w:r w:rsidDel="00000000" w:rsidR="00000000" w:rsidRPr="00000000">
        <w:rPr>
          <w:b w:val="1"/>
          <w:color w:val="1b1c1d"/>
          <w:rtl w:val="0"/>
        </w:rPr>
        <w:t xml:space="preserve">DeepEval</w:t>
      </w:r>
      <w:r w:rsidDel="00000000" w:rsidR="00000000" w:rsidRPr="00000000">
        <w:rPr>
          <w:color w:val="1b1c1d"/>
          <w:rtl w:val="0"/>
        </w:rPr>
        <w:t xml:space="preserve"> framework.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Evaluation Results:</w:t>
      </w:r>
      <w:r w:rsidDel="00000000" w:rsidR="00000000" w:rsidRPr="00000000">
        <w:rPr>
          <w:color w:val="1b1c1d"/>
          <w:rtl w:val="0"/>
        </w:rPr>
        <w:t xml:space="preserve"> The </w:t>
      </w:r>
      <w:r w:rsidDel="00000000" w:rsidR="00000000" w:rsidRPr="00000000">
        <w:rPr>
          <w:b w:val="1"/>
          <w:color w:val="1b1c1d"/>
          <w:rtl w:val="0"/>
        </w:rPr>
        <w:t xml:space="preserve">DeepEval agent score results</w:t>
      </w:r>
      <w:r w:rsidDel="00000000" w:rsidR="00000000" w:rsidRPr="00000000">
        <w:rPr>
          <w:color w:val="1b1c1d"/>
          <w:rtl w:val="0"/>
        </w:rPr>
        <w:t xml:space="preserve"> must be captured and shared in a separate, dedicated file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agent_evaluation_scores.json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Reproducibility:</w:t>
      </w:r>
      <w:r w:rsidDel="00000000" w:rsidR="00000000" w:rsidRPr="00000000">
        <w:rPr>
          <w:color w:val="1b1c1d"/>
          <w:rtl w:val="0"/>
        </w:rPr>
        <w:t xml:space="preserve"> The evaluation process must be </w:t>
      </w:r>
      <w:r w:rsidDel="00000000" w:rsidR="00000000" w:rsidRPr="00000000">
        <w:rPr>
          <w:b w:val="1"/>
          <w:color w:val="1b1c1d"/>
          <w:rtl w:val="0"/>
        </w:rPr>
        <w:t xml:space="preserve">easily reproducible</w:t>
      </w:r>
      <w:r w:rsidDel="00000000" w:rsidR="00000000" w:rsidRPr="00000000">
        <w:rPr>
          <w:color w:val="1b1c1d"/>
          <w:rtl w:val="0"/>
        </w:rPr>
        <w:t xml:space="preserve"> via a single script or command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pytest run_eval.py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VI. Deployment and Submission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final deliverable consists of two parts.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Hosting Platform:</w:t>
      </w:r>
      <w:r w:rsidDel="00000000" w:rsidR="00000000" w:rsidRPr="00000000">
        <w:rPr>
          <w:color w:val="1b1c1d"/>
          <w:rtl w:val="0"/>
        </w:rPr>
        <w:t xml:space="preserve"> The entire application must be deployed to some cloud environment that is public facing. You can use </w:t>
      </w:r>
      <w:r w:rsidDel="00000000" w:rsidR="00000000" w:rsidRPr="00000000">
        <w:rPr>
          <w:b w:val="1"/>
          <w:color w:val="1b1c1d"/>
          <w:rtl w:val="0"/>
        </w:rPr>
        <w:t xml:space="preserve">Render</w:t>
      </w:r>
      <w:r w:rsidDel="00000000" w:rsidR="00000000" w:rsidRPr="00000000">
        <w:rPr>
          <w:color w:val="1b1c1d"/>
          <w:rtl w:val="0"/>
        </w:rPr>
        <w:t xml:space="preserve"> (</w:t>
      </w:r>
      <w:hyperlink r:id="rId6">
        <w:r w:rsidDel="00000000" w:rsidR="00000000" w:rsidRPr="00000000">
          <w:rPr>
            <w:color w:val="0b57d0"/>
            <w:u w:val="single"/>
            <w:rtl w:val="0"/>
          </w:rPr>
          <w:t xml:space="preserve">https://render.com/</w:t>
        </w:r>
      </w:hyperlink>
      <w:r w:rsidDel="00000000" w:rsidR="00000000" w:rsidRPr="00000000">
        <w:rPr>
          <w:color w:val="1b1c1d"/>
          <w:rtl w:val="0"/>
        </w:rPr>
        <w:t xml:space="preserve">) as a free alternative.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Deployment Status:</w:t>
      </w:r>
      <w:r w:rsidDel="00000000" w:rsidR="00000000" w:rsidRPr="00000000">
        <w:rPr>
          <w:color w:val="1b1c1d"/>
          <w:rtl w:val="0"/>
        </w:rPr>
        <w:t xml:space="preserve"> The deployed application must be live and fully functional upon submission.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Submission Artifacts (Mandatory):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The </w:t>
      </w:r>
      <w:r w:rsidDel="00000000" w:rsidR="00000000" w:rsidRPr="00000000">
        <w:rPr>
          <w:b w:val="1"/>
          <w:color w:val="1b1c1d"/>
          <w:rtl w:val="0"/>
        </w:rPr>
        <w:t xml:space="preserve">live link</w:t>
      </w:r>
      <w:r w:rsidDel="00000000" w:rsidR="00000000" w:rsidRPr="00000000">
        <w:rPr>
          <w:color w:val="1b1c1d"/>
          <w:rtl w:val="0"/>
        </w:rPr>
        <w:t xml:space="preserve"> to the hosted application.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A </w:t>
      </w:r>
      <w:r w:rsidDel="00000000" w:rsidR="00000000" w:rsidRPr="00000000">
        <w:rPr>
          <w:b w:val="1"/>
          <w:color w:val="1b1c1d"/>
          <w:rtl w:val="0"/>
        </w:rPr>
        <w:t xml:space="preserve">ZIP file</w:t>
      </w:r>
      <w:r w:rsidDel="00000000" w:rsidR="00000000" w:rsidRPr="00000000">
        <w:rPr>
          <w:color w:val="1b1c1d"/>
          <w:rtl w:val="0"/>
        </w:rPr>
        <w:t xml:space="preserve"> containing the complete source code for the challenge.</w:t>
      </w:r>
    </w:p>
    <w:p w:rsidR="00000000" w:rsidDel="00000000" w:rsidP="00000000" w:rsidRDefault="00000000" w:rsidRPr="00000000" w14:paraId="00000034">
      <w:pPr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VII. Bonus Criteria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Candidates will receive </w:t>
      </w:r>
      <w:r w:rsidDel="00000000" w:rsidR="00000000" w:rsidRPr="00000000">
        <w:rPr>
          <w:b w:val="1"/>
          <w:color w:val="1b1c1d"/>
          <w:rtl w:val="0"/>
        </w:rPr>
        <w:t xml:space="preserve">bonus points</w:t>
      </w:r>
      <w:r w:rsidDel="00000000" w:rsidR="00000000" w:rsidRPr="00000000">
        <w:rPr>
          <w:color w:val="1b1c1d"/>
          <w:rtl w:val="0"/>
        </w:rPr>
        <w:t xml:space="preserve"> for excellence in the following areas: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4.570454812552"/>
        <w:gridCol w:w="6510.941356211071"/>
        <w:tblGridChange w:id="0">
          <w:tblGrid>
            <w:gridCol w:w="2514.570454812552"/>
            <w:gridCol w:w="6510.941356211071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Clean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Clear separation of concerns (e.g., distinct layers for API views, LangGraph logic, and data ingestion/tools). Proper use of interfaces and abstractions.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OOP Design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project must be structured using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classes</w:t>
            </w:r>
            <w:r w:rsidDel="00000000" w:rsidR="00000000" w:rsidRPr="00000000">
              <w:rPr>
                <w:color w:val="1b1c1d"/>
                <w:rtl w:val="0"/>
              </w:rPr>
              <w:t xml:space="preserve"> and follow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OOP best practices</w:t>
            </w:r>
            <w:r w:rsidDel="00000000" w:rsidR="00000000" w:rsidRPr="00000000">
              <w:rPr>
                <w:color w:val="1b1c1d"/>
                <w:rtl w:val="0"/>
              </w:rPr>
              <w:t xml:space="preserve"> to enhance modularity and maintainability.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Comprehensive, clear, and easy-to-follow documentation, particularly for setup, running the agent, and API usage (e.g., using Swagger/OpenAPI, or detailed README).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Organization &amp; Conciseness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Logical file structure, idiomatic Python code, effective use of environment variables, and minimizing unnecessary complexity.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Robust error handling within the LangGraph nodes and API, especially for database connection failures or LLM tool-calling issues.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Submission email:</w:t>
      </w:r>
      <w:r w:rsidDel="00000000" w:rsidR="00000000" w:rsidRPr="00000000">
        <w:rPr>
          <w:rtl w:val="0"/>
        </w:rPr>
        <w:br w:type="textWrapping"/>
        <w:t xml:space="preserve">Submit your final solution with necessary docs and links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careers@proplens.ai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br w:type="textWrapping"/>
        <w:t xml:space="preserve">Please write to the same email ID for any clarifications you might have.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nder.com/" TargetMode="External"/><Relationship Id="rId7" Type="http://schemas.openxmlformats.org/officeDocument/2006/relationships/hyperlink" Target="mailto:careers@proplens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