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2514E"/>
          <w:sz w:val="16"/>
        </w:rPr>
        <w:t>MODEL EVALUATION · DOCUMENT AI</w:t>
      </w:r>
    </w:p>
    <w:p>
      <w:pPr>
        <w:spacing w:after="80"/>
      </w:pPr>
      <w:r>
        <w:rPr>
          <w:b/>
          <w:color w:val="0B0B0B"/>
          <w:sz w:val="44"/>
        </w:rPr>
        <w:t>Invoice Field Extraction — Model Benchmark</w:t>
      </w:r>
    </w:p>
    <w:p>
      <w:pPr>
        <w:spacing w:after="280"/>
      </w:pPr>
      <w:r>
        <w:rPr>
          <w:i w:val="0"/>
          <w:color w:val="52514E"/>
          <w:sz w:val="18"/>
        </w:rPr>
        <w:t>August 6, 2026  ·  10 model configurations  ·  23,343 documents scored  ·  15 fields per invoice  ·  $89.78 total API spend</w:t>
      </w:r>
    </w:p>
    <w:p>
      <w:pPr>
        <w:pStyle w:val="Heading1"/>
        <w:keepNext/>
        <w:spacing w:before="360" w:after="80"/>
      </w:pPr>
      <w:r>
        <w:rPr>
          <w:color w:val="104281"/>
          <w:sz w:val="30"/>
        </w:rPr>
        <w:t>Key results</w:t>
      </w:r>
    </w:p>
    <w:p>
      <w:pPr>
        <w:spacing w:after="160"/>
      </w:pPr>
      <w:r>
        <w:rPr>
          <w:i w:val="0"/>
          <w:color w:val="0B0B0B"/>
          <w:sz w:val="20"/>
        </w:rPr>
        <w:t>Each model reads invoice PDFs as page images and returns 15 structured fields (vendor, customer, totals, dates, references). The headline metric is end-to-end score: the share of all fields present in a document that the model extracted correctly.</w:t>
      </w:r>
    </w:p>
    <w:tbl>
      <w:tblPr>
        <w:tblStyle w:val="TableGrid"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61"/>
        <w:gridCol w:w="6009"/>
      </w:tblGrid>
      <w:tr>
        <w:tc>
          <w:tcPr>
            <w:tcW w:type="dxa" w:w="2381"/>
            <w:shd w:val="clear" w:color="auto" w:fill="E4EEFB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6"/>
              </w:rPr>
            </w:r>
          </w:p>
        </w:tc>
        <w:tc>
          <w:tcPr>
            <w:tcW w:type="dxa" w:w="1361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Result</w:t>
            </w:r>
          </w:p>
        </w:tc>
        <w:tc>
          <w:tcPr>
            <w:tcW w:type="dxa" w:w="6009"/>
            <w:shd w:val="clear" w:color="auto" w:fill="E4EEFB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6"/>
              </w:rPr>
              <w:t>Detail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Top score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88.9%</w:t>
            </w:r>
          </w:p>
        </w:tc>
        <w:tc>
          <w:tcPr>
            <w:tcW w:type="dxa" w:w="6009"/>
          </w:tcPr>
          <w:p>
            <w:pPr>
              <w:spacing w:before="40" w:after="40"/>
            </w:pPr>
            <w:r/>
            <w:r>
              <w:rPr>
                <w:b w:val="0"/>
                <w:color w:val="0B0B0B"/>
                <w:sz w:val="17"/>
              </w:rPr>
              <w:t>Gemini 3.6 Flash · $10.04 / 1k docs</w:t>
            </w:r>
          </w:p>
        </w:tc>
      </w:tr>
      <w:tr>
        <w:tc>
          <w:tcPr>
            <w:tcW w:type="dxa" w:w="238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Best value</w:t>
            </w:r>
          </w:p>
        </w:tc>
        <w:tc>
          <w:tcPr>
            <w:tcW w:type="dxa" w:w="136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87.3%</w:t>
            </w:r>
          </w:p>
        </w:tc>
        <w:tc>
          <w:tcPr>
            <w:tcW w:type="dxa" w:w="6009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 w:val="0"/>
                <w:color w:val="0B0B0B"/>
                <w:sz w:val="17"/>
              </w:rPr>
              <w:t>Qwen 3.6 27B · $2.20 / 1k docs, open-weight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Fastest response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6.9 s</w:t>
            </w:r>
          </w:p>
        </w:tc>
        <w:tc>
          <w:tcPr>
            <w:tcW w:type="dxa" w:w="6009"/>
          </w:tcPr>
          <w:p>
            <w:pPr>
              <w:spacing w:before="40" w:after="40"/>
            </w:pPr>
            <w:r/>
            <w:r>
              <w:rPr>
                <w:b w:val="0"/>
                <w:color w:val="0B0B0B"/>
                <w:sz w:val="17"/>
              </w:rPr>
              <w:t>GPT-5.6 Terra · 86.5% E2E · $8.27 / 1k docs</w:t>
            </w:r>
          </w:p>
        </w:tc>
      </w:tr>
      <w:tr>
        <w:tc>
          <w:tcPr>
            <w:tcW w:type="dxa" w:w="238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Premium ceiling</w:t>
            </w:r>
          </w:p>
        </w:tc>
        <w:tc>
          <w:tcPr>
            <w:tcW w:type="dxa" w:w="136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92.2%</w:t>
            </w:r>
          </w:p>
        </w:tc>
        <w:tc>
          <w:tcPr>
            <w:tcW w:type="dxa" w:w="6009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 w:val="0"/>
                <w:color w:val="0B0B0B"/>
                <w:sz w:val="17"/>
              </w:rPr>
              <w:t>Claude Opus 5 accuracy — at $44.19 / 1k docs</w:t>
            </w:r>
          </w:p>
        </w:tc>
      </w:tr>
    </w:tbl>
    <w:p>
      <w:pPr>
        <w:spacing w:after="120"/>
      </w:pPr>
      <w:r>
        <w:rPr>
          <w:i w:val="0"/>
          <w:color w:val="0B0B0B"/>
          <w:sz w:val="20"/>
        </w:rPr>
      </w:r>
    </w:p>
    <w:p>
      <w:pPr>
        <w:spacing w:before="120"/>
      </w:pPr>
      <w:r>
        <w:rPr>
          <w:b/>
        </w:rPr>
        <w:t xml:space="preserve">Bottom line: </w:t>
      </w:r>
      <w:r>
        <w:rPr>
          <w:b/>
        </w:rPr>
        <w:t>Gemini 3.6 Flash</w:t>
      </w:r>
      <w:r>
        <w:rPr>
          <w:b w:val="0"/>
        </w:rPr>
        <w:t xml:space="preserve"> remains the best accuracy-for-price choice for production, and </w:t>
      </w:r>
      <w:r>
        <w:rPr>
          <w:b/>
        </w:rPr>
        <w:t>Qwen 3.6 27B</w:t>
      </w:r>
      <w:r>
        <w:rPr>
          <w:b w:val="0"/>
        </w:rPr>
        <w:t xml:space="preserve"> is the strongest open-weight alternative at roughly a fifth of the cost with only 1.6 points less accuracy. </w:t>
      </w:r>
      <w:r>
        <w:rPr>
          <w:b/>
        </w:rPr>
        <w:t>GPT-5.6 Terra</w:t>
      </w:r>
      <w:r>
        <w:rPr>
          <w:b w:val="0"/>
        </w:rPr>
        <w:t xml:space="preserve"> lands mid-pack: it does not beat Gemini on accuracy or Qwen on price, but it is the fastest model tested — relevant if we ever need real-time extraction in the product UI. </w:t>
      </w:r>
      <w:r>
        <w:rPr>
          <w:b/>
        </w:rPr>
        <w:t>Claude Opus 5</w:t>
      </w:r>
      <w:r>
        <w:rPr>
          <w:b w:val="0"/>
        </w:rPr>
        <w:t xml:space="preserve"> gives the most accurate individual answers and wins the like-for-like subset, but at 4–20× the unit cost it only makes sense for high-value documents.</w:t>
      </w:r>
    </w:p>
    <w:p>
      <w:pPr>
        <w:pStyle w:val="Heading1"/>
        <w:keepNext/>
        <w:spacing w:before="360" w:after="80"/>
      </w:pPr>
      <w:r>
        <w:rPr>
          <w:color w:val="104281"/>
          <w:sz w:val="30"/>
        </w:rPr>
        <w:t>Leaderboard — end-to-end extraction score</w:t>
      </w:r>
    </w:p>
    <w:p>
      <w:pPr>
        <w:keepNext/>
        <w:spacing w:after="160"/>
      </w:pPr>
      <w:r>
        <w:rPr>
          <w:i w:val="0"/>
          <w:color w:val="0B0B0B"/>
          <w:sz w:val="20"/>
        </w:rPr>
        <w:t>Bars show each model on its full run. Because models processed different document counts, diamonds re-score every model on the identical 215 documents all ten completed — the ranking holds, so the full-run numbers are trustworthy.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700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0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60" w:after="80"/>
      </w:pPr>
      <w:r>
        <w:rPr>
          <w:color w:val="104281"/>
          <w:sz w:val="30"/>
        </w:rPr>
        <w:t>Cost vs. quality</w:t>
      </w:r>
    </w:p>
    <w:p>
      <w:pPr>
        <w:keepNext/>
        <w:spacing w:after="160"/>
      </w:pPr>
      <w:r>
        <w:rPr>
          <w:i w:val="0"/>
          <w:color w:val="0B0B0B"/>
          <w:sz w:val="20"/>
        </w:rPr>
        <w:t>What one thousand documents cost against what you get back. Up and to the left is better; the cost axis is logarithmic. Gemini 3.6 Flash (GCP deployment) is omitted — it is billed through the GCP contract, so no per-call cost is reported.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663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6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60" w:after="80"/>
      </w:pPr>
      <w:r>
        <w:rPr>
          <w:color w:val="104281"/>
          <w:sz w:val="30"/>
        </w:rPr>
        <w:t>Where extraction breaks down, field by field</w:t>
      </w:r>
    </w:p>
    <w:p>
      <w:pPr>
        <w:keepNext/>
        <w:spacing w:after="160"/>
      </w:pPr>
      <w:r>
        <w:rPr>
          <w:i w:val="0"/>
          <w:color w:val="0B0B0B"/>
          <w:sz w:val="20"/>
        </w:rPr>
        <w:t>End-to-end score per field, darkest for the highest score. Header fields (invoice ID, dates, totals) are largely solved; the losses concentrate in PO number, delivery note and payment terms — mostly fields the models fail to return at all — and in vendor-name formatting mismatches.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5468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4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60" w:after="80"/>
      </w:pPr>
      <w:r>
        <w:rPr>
          <w:color w:val="104281"/>
          <w:sz w:val="30"/>
        </w:rPr>
        <w:t>What kind of failure is it?</w:t>
      </w:r>
    </w:p>
    <w:p>
      <w:pPr>
        <w:keepNext/>
        <w:spacing w:after="160"/>
      </w:pPr>
      <w:r>
        <w:rPr>
          <w:i w:val="0"/>
          <w:color w:val="0B0B0B"/>
          <w:sz w:val="20"/>
        </w:rPr>
        <w:t>Every ground-truth field across all model runs combined — about 315,000 comparisons — split by outcome. The totals are almost never string-identical (ground truth stores raw numbers, models copy the printed format) but overwhelmingly correct after normalisation. Vendor name and the addresses are mostly a normalisation problem; PO number, delivery note and payment terms are a coverage problem — the model returns nothing at 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130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3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60" w:after="80"/>
      </w:pPr>
      <w:r>
        <w:rPr>
          <w:color w:val="104281"/>
          <w:sz w:val="30"/>
        </w:rPr>
        <w:t>Full comparison</w:t>
      </w:r>
    </w:p>
    <w:tbl>
      <w:tblPr>
        <w:tblStyle w:val="TableGrid"/>
        <w:tblW w:type="dxa" w:w="9184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964"/>
        <w:gridCol w:w="1077"/>
        <w:gridCol w:w="850"/>
        <w:gridCol w:w="850"/>
        <w:gridCol w:w="1077"/>
        <w:gridCol w:w="907"/>
        <w:gridCol w:w="737"/>
        <w:gridCol w:w="680"/>
      </w:tblGrid>
      <w:tr>
        <w:tc>
          <w:tcPr>
            <w:tcW w:type="dxa" w:w="2041"/>
            <w:shd w:val="clear" w:color="auto" w:fill="E4EEFB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6"/>
              </w:rPr>
              <w:t>Model</w:t>
            </w:r>
          </w:p>
        </w:tc>
        <w:tc>
          <w:tcPr>
            <w:tcW w:type="dxa" w:w="964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End-to-end</w:t>
            </w:r>
          </w:p>
        </w:tc>
        <w:tc>
          <w:tcPr>
            <w:tcW w:type="dxa" w:w="107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E2E (215 docs)</w:t>
            </w:r>
          </w:p>
        </w:tc>
        <w:tc>
          <w:tcPr>
            <w:tcW w:type="dxa" w:w="850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Coverage</w:t>
            </w:r>
          </w:p>
        </w:tc>
        <w:tc>
          <w:tcPr>
            <w:tcW w:type="dxa" w:w="850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Accuracy</w:t>
            </w:r>
          </w:p>
        </w:tc>
        <w:tc>
          <w:tcPr>
            <w:tcW w:type="dxa" w:w="107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Cost / 1k docs</w:t>
            </w:r>
          </w:p>
        </w:tc>
        <w:tc>
          <w:tcPr>
            <w:tcW w:type="dxa" w:w="90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Tokens / doc</w:t>
            </w:r>
          </w:p>
        </w:tc>
        <w:tc>
          <w:tcPr>
            <w:tcW w:type="dxa" w:w="73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Latency</w:t>
            </w:r>
          </w:p>
        </w:tc>
        <w:tc>
          <w:tcPr>
            <w:tcW w:type="dxa" w:w="680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Docs run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Claude Fable 5.1</w:t>
            </w:r>
          </w:p>
        </w:tc>
        <w:tc>
          <w:tcPr>
            <w:tcW w:type="dxa" w:w="964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89.1%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89.7%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97.0%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91.9%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$77.67</w:t>
            </w:r>
          </w:p>
        </w:tc>
        <w:tc>
          <w:tcPr>
            <w:tcW w:type="dxa" w:w="90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6,417</w:t>
            </w:r>
          </w:p>
        </w:tc>
        <w:tc>
          <w:tcPr>
            <w:tcW w:type="dxa" w:w="73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11.1 s</w:t>
            </w:r>
          </w:p>
        </w:tc>
        <w:tc>
          <w:tcPr>
            <w:tcW w:type="dxa" w:w="68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207</w:t>
            </w:r>
          </w:p>
        </w:tc>
      </w:tr>
      <w:tr>
        <w:tc>
          <w:tcPr>
            <w:tcW w:type="dxa" w:w="204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Gemini 3.6 Flash</w:t>
            </w:r>
          </w:p>
        </w:tc>
        <w:tc>
          <w:tcPr>
            <w:tcW w:type="dxa" w:w="964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88.9%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87.3%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97.0%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91.7%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$10.04</w:t>
            </w:r>
          </w:p>
        </w:tc>
        <w:tc>
          <w:tcPr>
            <w:tcW w:type="dxa" w:w="90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3,164</w:t>
            </w:r>
          </w:p>
        </w:tc>
        <w:tc>
          <w:tcPr>
            <w:tcW w:type="dxa" w:w="73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11.0 s</w:t>
            </w:r>
          </w:p>
        </w:tc>
        <w:tc>
          <w:tcPr>
            <w:tcW w:type="dxa" w:w="68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2,323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Claude Opus 5</w:t>
            </w:r>
          </w:p>
        </w:tc>
        <w:tc>
          <w:tcPr>
            <w:tcW w:type="dxa" w:w="964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88.3%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89.1%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95.7%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92.2%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$44.19</w:t>
            </w:r>
          </w:p>
        </w:tc>
        <w:tc>
          <w:tcPr>
            <w:tcW w:type="dxa" w:w="90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7,473</w:t>
            </w:r>
          </w:p>
        </w:tc>
        <w:tc>
          <w:tcPr>
            <w:tcW w:type="dxa" w:w="73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16.7 s</w:t>
            </w:r>
          </w:p>
        </w:tc>
        <w:tc>
          <w:tcPr>
            <w:tcW w:type="dxa" w:w="68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234</w:t>
            </w:r>
          </w:p>
        </w:tc>
      </w:tr>
      <w:tr>
        <w:tc>
          <w:tcPr>
            <w:tcW w:type="dxa" w:w="204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Qwen 3.6 35B-A3B</w:t>
            </w:r>
          </w:p>
        </w:tc>
        <w:tc>
          <w:tcPr>
            <w:tcW w:type="dxa" w:w="964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87.5%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84.8%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96.8%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90.3%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$8.74</w:t>
            </w:r>
          </w:p>
        </w:tc>
        <w:tc>
          <w:tcPr>
            <w:tcW w:type="dxa" w:w="90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11,241</w:t>
            </w:r>
          </w:p>
        </w:tc>
        <w:tc>
          <w:tcPr>
            <w:tcW w:type="dxa" w:w="73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82.9 s</w:t>
            </w:r>
          </w:p>
        </w:tc>
        <w:tc>
          <w:tcPr>
            <w:tcW w:type="dxa" w:w="68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2,361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Gemini 3.6 Flash (GCP)</w:t>
            </w:r>
          </w:p>
        </w:tc>
        <w:tc>
          <w:tcPr>
            <w:tcW w:type="dxa" w:w="964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87.4%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88.2%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96.9%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90.2%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n/a</w:t>
            </w:r>
          </w:p>
        </w:tc>
        <w:tc>
          <w:tcPr>
            <w:tcW w:type="dxa" w:w="90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5,113</w:t>
            </w:r>
          </w:p>
        </w:tc>
        <w:tc>
          <w:tcPr>
            <w:tcW w:type="dxa" w:w="73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12.3 s</w:t>
            </w:r>
          </w:p>
        </w:tc>
        <w:tc>
          <w:tcPr>
            <w:tcW w:type="dxa" w:w="68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488</w:t>
            </w:r>
          </w:p>
        </w:tc>
      </w:tr>
      <w:tr>
        <w:tc>
          <w:tcPr>
            <w:tcW w:type="dxa" w:w="204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Qwen 3.6 27B</w:t>
            </w:r>
          </w:p>
        </w:tc>
        <w:tc>
          <w:tcPr>
            <w:tcW w:type="dxa" w:w="964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87.3%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88.3%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96.8%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90.2%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$2.20</w:t>
            </w:r>
          </w:p>
        </w:tc>
        <w:tc>
          <w:tcPr>
            <w:tcW w:type="dxa" w:w="90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4,574</w:t>
            </w:r>
          </w:p>
        </w:tc>
        <w:tc>
          <w:tcPr>
            <w:tcW w:type="dxa" w:w="73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42.5 s</w:t>
            </w:r>
          </w:p>
        </w:tc>
        <w:tc>
          <w:tcPr>
            <w:tcW w:type="dxa" w:w="68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2,380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Qwen 3.8 27B</w:t>
            </w:r>
          </w:p>
        </w:tc>
        <w:tc>
          <w:tcPr>
            <w:tcW w:type="dxa" w:w="964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86.8%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85.5%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96.3%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90.1%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$2.03</w:t>
            </w:r>
          </w:p>
        </w:tc>
        <w:tc>
          <w:tcPr>
            <w:tcW w:type="dxa" w:w="90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4,204</w:t>
            </w:r>
          </w:p>
        </w:tc>
        <w:tc>
          <w:tcPr>
            <w:tcW w:type="dxa" w:w="73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26.7 s</w:t>
            </w:r>
          </w:p>
        </w:tc>
        <w:tc>
          <w:tcPr>
            <w:tcW w:type="dxa" w:w="68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3,508</w:t>
            </w:r>
          </w:p>
        </w:tc>
      </w:tr>
      <w:tr>
        <w:tc>
          <w:tcPr>
            <w:tcW w:type="dxa" w:w="204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GPT-5.6 Terra</w:t>
            </w:r>
          </w:p>
        </w:tc>
        <w:tc>
          <w:tcPr>
            <w:tcW w:type="dxa" w:w="964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86.5%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83.6%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96.0%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90.0%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$8.27</w:t>
            </w:r>
          </w:p>
        </w:tc>
        <w:tc>
          <w:tcPr>
            <w:tcW w:type="dxa" w:w="90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5,543</w:t>
            </w:r>
          </w:p>
        </w:tc>
        <w:tc>
          <w:tcPr>
            <w:tcW w:type="dxa" w:w="73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6.9 s</w:t>
            </w:r>
          </w:p>
        </w:tc>
        <w:tc>
          <w:tcPr>
            <w:tcW w:type="dxa" w:w="68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1,815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Qwen 3.8 Max</w:t>
            </w:r>
          </w:p>
        </w:tc>
        <w:tc>
          <w:tcPr>
            <w:tcW w:type="dxa" w:w="964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85.9%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85.5%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95.0%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90.4%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$15.79</w:t>
            </w:r>
          </w:p>
        </w:tc>
        <w:tc>
          <w:tcPr>
            <w:tcW w:type="dxa" w:w="90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5,866</w:t>
            </w:r>
          </w:p>
        </w:tc>
        <w:tc>
          <w:tcPr>
            <w:tcW w:type="dxa" w:w="73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22.9 s</w:t>
            </w:r>
          </w:p>
        </w:tc>
        <w:tc>
          <w:tcPr>
            <w:tcW w:type="dxa" w:w="68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950</w:t>
            </w:r>
          </w:p>
        </w:tc>
      </w:tr>
      <w:tr>
        <w:tc>
          <w:tcPr>
            <w:tcW w:type="dxa" w:w="204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Ministral 14B</w:t>
            </w:r>
          </w:p>
        </w:tc>
        <w:tc>
          <w:tcPr>
            <w:tcW w:type="dxa" w:w="964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83.2%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81.6%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95.2%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87.3%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$0.76</w:t>
            </w:r>
          </w:p>
        </w:tc>
        <w:tc>
          <w:tcPr>
            <w:tcW w:type="dxa" w:w="90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4,127</w:t>
            </w:r>
          </w:p>
        </w:tc>
        <w:tc>
          <w:tcPr>
            <w:tcW w:type="dxa" w:w="73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13.2 s</w:t>
            </w:r>
          </w:p>
        </w:tc>
        <w:tc>
          <w:tcPr>
            <w:tcW w:type="dxa" w:w="68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4,973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Mistral Small 3.2 24B</w:t>
            </w:r>
          </w:p>
        </w:tc>
        <w:tc>
          <w:tcPr>
            <w:tcW w:type="dxa" w:w="964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83.0%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83.6%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94.0%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88.3%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$0.39</w:t>
            </w:r>
          </w:p>
        </w:tc>
        <w:tc>
          <w:tcPr>
            <w:tcW w:type="dxa" w:w="90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4,723</w:t>
            </w:r>
          </w:p>
        </w:tc>
        <w:tc>
          <w:tcPr>
            <w:tcW w:type="dxa" w:w="73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11.4 s</w:t>
            </w:r>
          </w:p>
        </w:tc>
        <w:tc>
          <w:tcPr>
            <w:tcW w:type="dxa" w:w="68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1,300</w:t>
            </w:r>
          </w:p>
        </w:tc>
      </w:tr>
      <w:tr>
        <w:tc>
          <w:tcPr>
            <w:tcW w:type="dxa" w:w="204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Claude Haiku 4.5</w:t>
            </w:r>
          </w:p>
        </w:tc>
        <w:tc>
          <w:tcPr>
            <w:tcW w:type="dxa" w:w="964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77.6%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77.5%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90.0%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86.3%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$4.56</w:t>
            </w:r>
          </w:p>
        </w:tc>
        <w:tc>
          <w:tcPr>
            <w:tcW w:type="dxa" w:w="90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3,415</w:t>
            </w:r>
          </w:p>
        </w:tc>
        <w:tc>
          <w:tcPr>
            <w:tcW w:type="dxa" w:w="73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509 s*</w:t>
            </w:r>
          </w:p>
        </w:tc>
        <w:tc>
          <w:tcPr>
            <w:tcW w:type="dxa" w:w="68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2,182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Gemma 4 31B</w:t>
            </w:r>
          </w:p>
        </w:tc>
        <w:tc>
          <w:tcPr>
            <w:tcW w:type="dxa" w:w="964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76.0%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74.1%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90.7%</w:t>
            </w:r>
          </w:p>
        </w:tc>
        <w:tc>
          <w:tcPr>
            <w:tcW w:type="dxa" w:w="85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83.8%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$0.24</w:t>
            </w:r>
          </w:p>
        </w:tc>
        <w:tc>
          <w:tcPr>
            <w:tcW w:type="dxa" w:w="90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1,067</w:t>
            </w:r>
          </w:p>
        </w:tc>
        <w:tc>
          <w:tcPr>
            <w:tcW w:type="dxa" w:w="73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18.3 s</w:t>
            </w:r>
          </w:p>
        </w:tc>
        <w:tc>
          <w:tcPr>
            <w:tcW w:type="dxa" w:w="680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4,158</w:t>
            </w:r>
          </w:p>
        </w:tc>
      </w:tr>
      <w:tr>
        <w:tc>
          <w:tcPr>
            <w:tcW w:type="dxa" w:w="2041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Gemma 4 26B-A4B</w:t>
            </w:r>
          </w:p>
        </w:tc>
        <w:tc>
          <w:tcPr>
            <w:tcW w:type="dxa" w:w="964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64.5%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63.9%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78.7%</w:t>
            </w:r>
          </w:p>
        </w:tc>
        <w:tc>
          <w:tcPr>
            <w:tcW w:type="dxa" w:w="85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82.0%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$0.21</w:t>
            </w:r>
          </w:p>
        </w:tc>
        <w:tc>
          <w:tcPr>
            <w:tcW w:type="dxa" w:w="90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1,078</w:t>
            </w:r>
          </w:p>
        </w:tc>
        <w:tc>
          <w:tcPr>
            <w:tcW w:type="dxa" w:w="73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37.3 s</w:t>
            </w:r>
          </w:p>
        </w:tc>
        <w:tc>
          <w:tcPr>
            <w:tcW w:type="dxa" w:w="680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2,429</w:t>
            </w:r>
          </w:p>
        </w:tc>
      </w:tr>
    </w:tbl>
    <w:p>
      <w:pPr>
        <w:spacing w:after="80"/>
      </w:pPr>
      <w:r>
        <w:rPr>
          <w:i w:val="0"/>
          <w:color w:val="52514E"/>
          <w:sz w:val="16"/>
        </w:rPr>
        <w:t>Coverage = share of fields present in the document that the model returned. Accuracy = share of returned values that match ground truth. End-to-end = correct ÷ present. * Claude Haiku 4.5 latency is inflated by rate-limit retries during its run and is not comparable.</w:t>
      </w:r>
    </w:p>
    <w:p>
      <w:pPr>
        <w:pStyle w:val="Heading1"/>
        <w:keepNext/>
        <w:spacing w:before="360" w:after="80"/>
      </w:pPr>
      <w:r>
        <w:rPr>
          <w:color w:val="104281"/>
          <w:sz w:val="30"/>
        </w:rPr>
        <w:t>Outcome split by field</w:t>
      </w:r>
    </w:p>
    <w:p>
      <w:pPr>
        <w:spacing w:after="160"/>
      </w:pPr>
      <w:r>
        <w:rPr>
          <w:i w:val="0"/>
          <w:color w:val="0B0B0B"/>
          <w:sz w:val="20"/>
        </w:rPr>
        <w:t>The numbers behind “What kind of failure is it?”, pooled across all ten model runs.</w:t>
      </w:r>
    </w:p>
    <w:tbl>
      <w:tblPr>
        <w:tblStyle w:val="TableGrid"/>
        <w:tblW w:type="dxa" w:w="946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077"/>
        <w:gridCol w:w="1191"/>
        <w:gridCol w:w="1191"/>
        <w:gridCol w:w="1247"/>
        <w:gridCol w:w="1247"/>
        <w:gridCol w:w="1247"/>
      </w:tblGrid>
      <w:tr>
        <w:tc>
          <w:tcPr>
            <w:tcW w:type="dxa" w:w="2268"/>
            <w:shd w:val="clear" w:color="auto" w:fill="E4EEFB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6"/>
              </w:rPr>
              <w:t>Field</w:t>
            </w:r>
          </w:p>
        </w:tc>
        <w:tc>
          <w:tcPr>
            <w:tcW w:type="dxa" w:w="107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Exact</w:t>
            </w:r>
          </w:p>
        </w:tc>
        <w:tc>
          <w:tcPr>
            <w:tcW w:type="dxa" w:w="1191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Formatting</w:t>
            </w:r>
          </w:p>
        </w:tc>
        <w:tc>
          <w:tcPr>
            <w:tcW w:type="dxa" w:w="1191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Wrong value</w:t>
            </w:r>
          </w:p>
        </w:tc>
        <w:tc>
          <w:tcPr>
            <w:tcW w:type="dxa" w:w="124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Not returned</w:t>
            </w:r>
          </w:p>
        </w:tc>
        <w:tc>
          <w:tcPr>
            <w:tcW w:type="dxa" w:w="124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Correct total</w:t>
            </w:r>
          </w:p>
        </w:tc>
        <w:tc>
          <w:tcPr>
            <w:tcW w:type="dxa" w:w="1247"/>
            <w:shd w:val="clear" w:color="auto" w:fill="E4EEFB"/>
          </w:tcPr>
          <w:p>
            <w:pPr>
              <w:spacing w:before="40" w:after="40"/>
              <w:jc w:val="right"/>
            </w:pPr>
            <w:r/>
            <w:r>
              <w:rPr>
                <w:b/>
                <w:color w:val="0B0B0B"/>
                <w:sz w:val="16"/>
              </w:rPr>
              <w:t>Comparisons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Invoice ID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82.5%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12.9%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4.0%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0.5%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95.4%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28,900</w:t>
            </w:r>
          </w:p>
        </w:tc>
      </w:tr>
      <w:tr>
        <w:tc>
          <w:tcPr>
            <w:tcW w:type="dxa" w:w="2268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Invoice date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84.7%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10.1%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4.4%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0.9%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94.8%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29,144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Total amount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5.8%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87.8%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5.6%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0.8%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93.6%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28,914</w:t>
            </w:r>
          </w:p>
        </w:tc>
      </w:tr>
      <w:tr>
        <w:tc>
          <w:tcPr>
            <w:tcW w:type="dxa" w:w="2268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Customer name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79.0%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13.8%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6.0%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1.3%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92.8%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28,994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Total tax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8.9%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82.5%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6.6%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2.0%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91.4%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28,505</w:t>
            </w:r>
          </w:p>
        </w:tc>
      </w:tr>
      <w:tr>
        <w:tc>
          <w:tcPr>
            <w:tcW w:type="dxa" w:w="2268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Subtotal (excl. tax)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6.2%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79.9%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12.4%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1.5%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86.1%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28,655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Vendor address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30.5%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53.2%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12.0%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4.4%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83.7%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29,049</w:t>
            </w:r>
          </w:p>
        </w:tc>
      </w:tr>
      <w:tr>
        <w:tc>
          <w:tcPr>
            <w:tcW w:type="dxa" w:w="2268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Due date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58.9%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23.4%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2.4%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15.3%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82.3%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22,199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Customer ID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57.7%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22.6%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11.0%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8.7%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80.3%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28,724</w:t>
            </w:r>
          </w:p>
        </w:tc>
      </w:tr>
      <w:tr>
        <w:tc>
          <w:tcPr>
            <w:tcW w:type="dxa" w:w="2268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Vendor name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36.7%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41.7%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21.2%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0.4%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78.4%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29,194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Vendor ID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41.6%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33.0%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17.6%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7.7%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74.6%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29,096</w:t>
            </w:r>
          </w:p>
        </w:tc>
      </w:tr>
      <w:tr>
        <w:tc>
          <w:tcPr>
            <w:tcW w:type="dxa" w:w="2268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Customer address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18.5%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55.9%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24.2%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1.3%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74.4%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27,223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Payment terms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52.4%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21.8%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5.5%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20.3%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74.2%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17,069</w:t>
            </w:r>
          </w:p>
        </w:tc>
      </w:tr>
      <w:tr>
        <w:tc>
          <w:tcPr>
            <w:tcW w:type="dxa" w:w="2268"/>
            <w:shd w:val="clear" w:color="auto" w:fill="F4F8FD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Delivery note</w:t>
            </w:r>
          </w:p>
        </w:tc>
        <w:tc>
          <w:tcPr>
            <w:tcW w:type="dxa" w:w="107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49.2%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13.8%</w:t>
            </w:r>
          </w:p>
        </w:tc>
        <w:tc>
          <w:tcPr>
            <w:tcW w:type="dxa" w:w="1191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19.5%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17.6%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63.0%</w:t>
            </w:r>
          </w:p>
        </w:tc>
        <w:tc>
          <w:tcPr>
            <w:tcW w:type="dxa" w:w="1247"/>
            <w:shd w:val="clear" w:color="auto" w:fill="F4F8FD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17,533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color w:val="0B0B0B"/>
                <w:sz w:val="17"/>
              </w:rPr>
              <w:t>PO number</w:t>
            </w:r>
          </w:p>
        </w:tc>
        <w:tc>
          <w:tcPr>
            <w:tcW w:type="dxa" w:w="107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39.6%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9.0%</w:t>
            </w:r>
          </w:p>
        </w:tc>
        <w:tc>
          <w:tcPr>
            <w:tcW w:type="dxa" w:w="1191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16.1%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35.3%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48.6%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b w:val="0"/>
                <w:color w:val="0B0B0B"/>
                <w:sz w:val="17"/>
              </w:rPr>
              <w:t>21,863</w:t>
            </w:r>
          </w:p>
        </w:tc>
      </w:tr>
    </w:tbl>
    <w:p>
      <w:pPr>
        <w:pStyle w:val="Heading1"/>
        <w:keepNext/>
        <w:spacing w:before="360" w:after="80"/>
      </w:pPr>
      <w:r>
        <w:rPr>
          <w:color w:val="104281"/>
          <w:sz w:val="30"/>
        </w:rPr>
        <w:t>Method &amp; caveats</w:t>
      </w:r>
    </w:p>
    <w:p>
      <w:pPr>
        <w:pStyle w:val="ListBullet"/>
        <w:spacing w:after="100"/>
      </w:pPr>
      <w:r>
        <w:rPr>
          <w:b/>
          <w:sz w:val="19"/>
        </w:rPr>
        <w:t xml:space="preserve">Setup. </w:t>
      </w:r>
      <w:r>
        <w:rPr>
          <w:color w:val="52514E"/>
          <w:sz w:val="19"/>
        </w:rPr>
        <w:t>Invoice PDFs rendered locally to page images (up to 4 pages per document, 150 dpi) and sent to each model with the same extraction prompt and JSON schema, temperature 0, via OpenRouter — plus one Gemini 3.6 Flash deployment on GCP Vertex for comparison. Reasoning modes were capped at minimum effort so models are compared on extraction, not thinking-token budgets.</w:t>
      </w:r>
    </w:p>
    <w:p>
      <w:pPr>
        <w:pStyle w:val="ListBullet"/>
        <w:spacing w:after="100"/>
      </w:pPr>
      <w:r>
        <w:rPr>
          <w:b/>
          <w:sz w:val="19"/>
        </w:rPr>
        <w:t xml:space="preserve">Ground truth. </w:t>
      </w:r>
      <w:r>
        <w:rPr>
          <w:color w:val="52514E"/>
          <w:sz w:val="19"/>
        </w:rPr>
        <w:t>Model output is compared field-by-field against a reviewed ground-truth set, with tolerant matching for dates and number formats.</w:t>
      </w:r>
    </w:p>
    <w:p>
      <w:pPr>
        <w:pStyle w:val="ListBullet"/>
        <w:spacing w:after="100"/>
      </w:pPr>
      <w:r>
        <w:rPr>
          <w:b/>
          <w:sz w:val="19"/>
        </w:rPr>
        <w:t xml:space="preserve">Document category is excluded </w:t>
      </w:r>
      <w:r>
        <w:rPr>
          <w:color w:val="52514E"/>
          <w:sz w:val="19"/>
        </w:rPr>
        <w:t>from all scores. Every model scored about 0% on it because the ground truth uses internal labels (e.g. “Expense”) while models return the document’s printed type — a taxonomy mismatch to fix in the ground truth, not a model failure.</w:t>
      </w:r>
    </w:p>
    <w:p>
      <w:pPr>
        <w:pStyle w:val="ListBullet"/>
        <w:spacing w:after="100"/>
      </w:pPr>
      <w:r>
        <w:rPr>
          <w:b/>
          <w:sz w:val="19"/>
        </w:rPr>
        <w:t xml:space="preserve">Unequal run sizes. </w:t>
      </w:r>
      <w:r>
        <w:rPr>
          <w:color w:val="52514E"/>
          <w:sz w:val="19"/>
        </w:rPr>
        <w:t>Runs range from 234 documents (Claude Opus 5) to 4,973 (Ministral 14B) because of per-model cost caps. The fair-subset re-score on the 215 shared documents confirms the ordering, with one change: Opus 5 moves to first place there.</w:t>
      </w:r>
    </w:p>
    <w:p>
      <w:pPr>
        <w:pStyle w:val="ListBullet"/>
        <w:spacing w:after="100"/>
      </w:pPr>
      <w:r>
        <w:rPr>
          <w:b/>
          <w:sz w:val="19"/>
        </w:rPr>
        <w:t xml:space="preserve">Vendor name scores understate the models. </w:t>
      </w:r>
      <w:r>
        <w:rPr>
          <w:color w:val="52514E"/>
          <w:sz w:val="19"/>
        </w:rPr>
        <w:t>A large share of vendor-name misses are formatting variants of the correct name; tightening ground-truth normalisation would lift every model roughly equally.</w:t>
      </w:r>
    </w:p>
    <w:p>
      <w:pPr>
        <w:pStyle w:val="ListBullet"/>
        <w:spacing w:after="100"/>
      </w:pPr>
      <w:r>
        <w:rPr>
          <w:b/>
          <w:sz w:val="19"/>
        </w:rPr>
        <w:t xml:space="preserve">Failure types. </w:t>
      </w:r>
      <w:r>
        <w:rPr>
          <w:color w:val="52514E"/>
          <w:sz w:val="19"/>
        </w:rPr>
        <w:t>Exact = string-identical to ground truth; formatting mismatch = same value after normalisation (date formats, thousand separators, accents, punctuation) — these count as correct in all scores; wrong value = returned but doesn’t match; not returned = null or absent.</w:t>
      </w:r>
    </w:p>
    <w:p>
      <w:pPr>
        <w:pStyle w:val="ListBullet"/>
        <w:spacing w:after="100"/>
      </w:pPr>
      <w:r>
        <w:rPr>
          <w:b/>
          <w:sz w:val="19"/>
        </w:rPr>
        <w:t xml:space="preserve">Costs </w:t>
      </w:r>
      <w:r>
        <w:rPr>
          <w:color w:val="52514E"/>
          <w:sz w:val="19"/>
        </w:rPr>
        <w:t>are actual billed OpenRouter charges at list prices, not estimates.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