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Times New Roman" w:cs="Times New Roman" w:eastAsia="Times New Roman" w:hAnsi="Times New Roman"/>
          <w:b/>
          <w:bCs/>
          <w:color w:val="000000"/>
          <w:sz w:val="28"/>
          <w:szCs w:val="28"/>
        </w:rPr>
        <w:t xml:space="preserve">Bab 5</w:t>
      </w:r>
    </w:p>
    <w:p>
      <w:pPr>
        <w:spacing w:after="400"/>
        <w:jc w:val="center"/>
      </w:pPr>
      <w:r>
        <w:rPr>
          <w:rFonts w:ascii="Times New Roman" w:cs="Times New Roman" w:eastAsia="Times New Roman" w:hAnsi="Times New Roman"/>
          <w:b/>
          <w:bCs/>
          <w:color w:val="000000"/>
          <w:sz w:val="28"/>
          <w:szCs w:val="28"/>
        </w:rPr>
        <w:t xml:space="preserve">Kesimpulan</w:t>
      </w:r>
    </w:p>
    <w:p>
      <w:pPr>
        <w:pStyle w:val="Heading2"/>
        <w:spacing w:after="200" w:before="300"/>
      </w:pPr>
      <w:r>
        <w:rPr>
          <w:rFonts w:ascii="Times New Roman" w:cs="Times New Roman" w:eastAsia="Times New Roman" w:hAnsi="Times New Roman"/>
          <w:b/>
          <w:bCs/>
          <w:color w:val="000000"/>
          <w:sz w:val="26"/>
          <w:szCs w:val="26"/>
        </w:rPr>
        <w:t xml:space="preserve">5.1 Kesimpulan</w:t>
      </w:r>
    </w:p>
    <w:p>
      <w:pPr>
        <w:spacing w:after="200" w:line="360"/>
        <w:jc w:val="both"/>
      </w:pPr>
      <w:r>
        <w:rPr>
          <w:rFonts w:ascii="Times New Roman" w:cs="Times New Roman" w:eastAsia="Times New Roman" w:hAnsi="Times New Roman"/>
          <w:b w:val="false"/>
          <w:bCs w:val="false"/>
          <w:i w:val="false"/>
          <w:iCs w:val="false"/>
          <w:sz w:val="24"/>
          <w:szCs w:val="24"/>
        </w:rPr>
        <w:t xml:space="preserve">Penelitian ini berangkat dari satu keresahan yang diuraikan sejak Sub-bab 1.1, yaitu inkonsistennya hasil perbandingan Naive Bayes dan SVM pada penelitian-penelitian terdahulu (Sub-bab 2.1), serta kecenderungan penelitian analisis sentimen berhenti pada tahap pelaporan angka akurasi tanpa dibungkus menjadi sistem yang benar-benar dapat digunakan. Berdasarkan seluruh tahapan metodologi pada Bab 3 dan hasil pengujian pada Bab 4, kelima rumusan masalah pada Sub-bab 1.2 dapat dijawab sebagai berikut:</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Metode Multinomial Naive Bayes dan Support Vector Machine (LinearSVC) berhasil diimplementasikan secara sistematis untuk klasifikasi sentimen ulasan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berbasis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sepidmnorozy/Indonesian_sentiment dari Hugging Face </w:t>
      </w:r>
      <w:r>
        <w:rPr>
          <w:rFonts w:ascii="Times New Roman" w:cs="Times New Roman" w:eastAsia="Times New Roman" w:hAnsi="Times New Roman"/>
          <w:i/>
          <w:iCs/>
          <w:sz w:val="24"/>
          <w:szCs w:val="24"/>
        </w:rPr>
        <w:t xml:space="preserve">Datasets</w:t>
      </w:r>
      <w:r>
        <w:rPr>
          <w:rFonts w:ascii="Times New Roman" w:cs="Times New Roman" w:eastAsia="Times New Roman" w:hAnsi="Times New Roman"/>
          <w:i w:val="false"/>
          <w:iCs w:val="false"/>
          <w:sz w:val="24"/>
          <w:szCs w:val="24"/>
        </w:rPr>
        <w:t xml:space="preserve">, melalui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i w:val="false"/>
          <w:iCs w:val="false"/>
          <w:sz w:val="24"/>
          <w:szCs w:val="24"/>
        </w:rPr>
        <w:t xml:space="preserve"> preprocessing empat tahap (</w:t>
      </w:r>
      <w:r>
        <w:rPr>
          <w:rFonts w:ascii="Times New Roman" w:cs="Times New Roman" w:eastAsia="Times New Roman" w:hAnsi="Times New Roman"/>
          <w:i/>
          <w:iCs/>
          <w:sz w:val="24"/>
          <w:szCs w:val="24"/>
        </w:rPr>
        <w:t xml:space="preserve">case folding</w:t>
      </w:r>
      <w:r>
        <w:rPr>
          <w:rFonts w:ascii="Times New Roman" w:cs="Times New Roman" w:eastAsia="Times New Roman" w:hAnsi="Times New Roman"/>
          <w:i w:val="false"/>
          <w:iCs w:val="false"/>
          <w:sz w:val="24"/>
          <w:szCs w:val="24"/>
        </w:rPr>
        <w:t xml:space="preserve">, penghapusan karakter, </w:t>
      </w:r>
      <w:r>
        <w:rPr>
          <w:rFonts w:ascii="Times New Roman" w:cs="Times New Roman" w:eastAsia="Times New Roman" w:hAnsi="Times New Roman"/>
          <w:i/>
          <w:iCs/>
          <w:sz w:val="24"/>
          <w:szCs w:val="24"/>
        </w:rPr>
        <w:t xml:space="preserve">stopword removal</w:t>
      </w:r>
      <w:r>
        <w:rPr>
          <w:rFonts w:ascii="Times New Roman" w:cs="Times New Roman" w:eastAsia="Times New Roman" w:hAnsi="Times New Roman"/>
          <w:i w:val="false"/>
          <w:iCs w:val="false"/>
          <w:sz w:val="24"/>
          <w:szCs w:val="24"/>
        </w:rPr>
        <w:t xml:space="preserve"> PySastrawi, dan </w:t>
      </w:r>
      <w:r>
        <w:rPr>
          <w:rFonts w:ascii="Times New Roman" w:cs="Times New Roman" w:eastAsia="Times New Roman" w:hAnsi="Times New Roman"/>
          <w:i/>
          <w:iCs/>
          <w:sz w:val="24"/>
          <w:szCs w:val="24"/>
        </w:rPr>
        <w:t xml:space="preserve">stemming</w:t>
      </w:r>
      <w:r>
        <w:rPr>
          <w:rFonts w:ascii="Times New Roman" w:cs="Times New Roman" w:eastAsia="Times New Roman" w:hAnsi="Times New Roman"/>
          <w:i w:val="false"/>
          <w:iCs w:val="false"/>
          <w:sz w:val="24"/>
          <w:szCs w:val="24"/>
        </w:rPr>
        <w:t xml:space="preserve">) yang telah diverifikasi kebenarannya secara internal melalui </w:t>
      </w:r>
      <w:r>
        <w:rPr>
          <w:rFonts w:ascii="Times New Roman" w:cs="Times New Roman" w:eastAsia="Times New Roman" w:hAnsi="Times New Roman"/>
          <w:i/>
          <w:iCs/>
          <w:sz w:val="24"/>
          <w:szCs w:val="24"/>
        </w:rPr>
        <w:t xml:space="preserve">white box testing</w:t>
      </w:r>
      <w:r>
        <w:rPr>
          <w:rFonts w:ascii="Times New Roman" w:cs="Times New Roman" w:eastAsia="Times New Roman" w:hAnsi="Times New Roman"/>
          <w:i w:val="false"/>
          <w:iCs w:val="false"/>
          <w:sz w:val="24"/>
          <w:szCs w:val="24"/>
        </w:rPr>
        <w:t xml:space="preserve"> pada Sub-bab 4.6, serta ekstraksi fitur TF-IDF dengan konfigurasi ngram_range=(1,2) dan max_features=10.000.</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SVM terbukti unggul secara konsisten atas Naive Bayes pada seluruh metrik evaluasi (akurasi 88,44% berbanding 87,56%, presisi 88,35% berbanding 87,46%, recall 88,44% berbanding 87,56%, F1-score 88,36% berbanding 87,48%) dan tetap stabil pada pengujian 5-fold </w:t>
      </w:r>
      <w:r>
        <w:rPr>
          <w:rFonts w:ascii="Times New Roman" w:cs="Times New Roman" w:eastAsia="Times New Roman" w:hAnsi="Times New Roman"/>
          <w:i/>
          <w:iCs/>
          <w:sz w:val="24"/>
          <w:szCs w:val="24"/>
        </w:rPr>
        <w:t xml:space="preserve">cross validation</w:t>
      </w:r>
      <w:r>
        <w:rPr>
          <w:rFonts w:ascii="Times New Roman" w:cs="Times New Roman" w:eastAsia="Times New Roman" w:hAnsi="Times New Roman"/>
          <w:i w:val="false"/>
          <w:iCs w:val="false"/>
          <w:sz w:val="24"/>
          <w:szCs w:val="24"/>
        </w:rPr>
        <w:t xml:space="preserve"> (standar deviasi ±0,29%). Hasil ini konsisten dengan temuan Apriyani, dkk. (2024) dan Zahra, dkk. (2026) pada data berbahasa Indonesia, sekaligus menegaskan bahwa keunggulan Naive Bayes pada penelitian Sanjaya, dkk. (2023) bersifat spesifik terhadap karakteristik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Shopee yang digunakan, bukan keunggulan mutlak yang berlaku universal, sejalan dengan simpulan Danyal, dkk. (2023) mengenai pengaruh ukuran dan karakteristik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terhadap performa algoritma.</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iCs/>
          <w:sz w:val="24"/>
          <w:szCs w:val="24"/>
        </w:rPr>
        <w:t xml:space="preserve">REST API</w:t>
      </w:r>
      <w:r>
        <w:rPr>
          <w:rFonts w:ascii="Times New Roman" w:cs="Times New Roman" w:eastAsia="Times New Roman" w:hAnsi="Times New Roman"/>
          <w:i w:val="false"/>
          <w:iCs w:val="false"/>
          <w:sz w:val="24"/>
          <w:szCs w:val="24"/>
        </w:rPr>
        <w:t xml:space="preserve"> berbasis FastAPI 0.109.0 berhasil dirancang dan diimplementasikan dengan enam belas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layanan (Tabel 3.1), mencakup prediksi tunggal, dual model, preprocessing step-by-step, batch CSV, riwayat, statistik, evaluasi, dan tanya-jawab Generate Insight, yang seluruhnya terbukti berfungsi sesuai spesifikasi melalui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i w:val="false"/>
          <w:iCs w:val="false"/>
          <w:sz w:val="24"/>
          <w:szCs w:val="24"/>
        </w:rPr>
        <w:t xml:space="preserve"> dan pengujian integrasi pada Sub-bab 4.4 dan 4.7.</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i w:val="false"/>
          <w:iCs w:val="false"/>
          <w:sz w:val="24"/>
          <w:szCs w:val="24"/>
        </w:rPr>
        <w:t xml:space="preserve"> interaktif berbasis Next.js 14 berhasil dikembangkan dengan enam tab fungsional (Analisis,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Evaluasi, Trend, Rekomendasi, Riwayat) dan halaman Generate Insight yang terintegrasi Gemini API, terbukti mampu menyajikan visualisasi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dan interpretasi naratif kontekstual bagi kebutuhan manajemen internal, termasuk mekanisme </w:t>
      </w:r>
      <w:r>
        <w:rPr>
          <w:rFonts w:ascii="Times New Roman" w:cs="Times New Roman" w:eastAsia="Times New Roman" w:hAnsi="Times New Roman"/>
          <w:i/>
          <w:iCs/>
          <w:sz w:val="24"/>
          <w:szCs w:val="24"/>
        </w:rPr>
        <w:t xml:space="preserve">fallback</w:t>
      </w:r>
      <w:r>
        <w:rPr>
          <w:rFonts w:ascii="Times New Roman" w:cs="Times New Roman" w:eastAsia="Times New Roman" w:hAnsi="Times New Roman"/>
          <w:i w:val="false"/>
          <w:iCs w:val="false"/>
          <w:sz w:val="24"/>
          <w:szCs w:val="24"/>
        </w:rPr>
        <w:t xml:space="preserve"> berbasis data lokal ketika layanan eksternal tidak tersedia, sebagaimana dibuktikan pada skenario pengujian nomor 7, 8, dan 9 di Tabel 4.1.</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Sistem penyimpanan riwayat analisis menggunakan SQLite berhasil dirancang sebagai basis data permanen yang tidak hilang saat </w:t>
      </w:r>
      <w:r>
        <w:rPr>
          <w:rFonts w:ascii="Times New Roman" w:cs="Times New Roman" w:eastAsia="Times New Roman" w:hAnsi="Times New Roman"/>
          <w:i/>
          <w:iCs/>
          <w:sz w:val="24"/>
          <w:szCs w:val="24"/>
        </w:rPr>
        <w:t xml:space="preserve">server</w:t>
      </w:r>
      <w:r>
        <w:rPr>
          <w:rFonts w:ascii="Times New Roman" w:cs="Times New Roman" w:eastAsia="Times New Roman" w:hAnsi="Times New Roman"/>
          <w:i w:val="false"/>
          <w:iCs w:val="false"/>
          <w:sz w:val="24"/>
          <w:szCs w:val="24"/>
        </w:rPr>
        <w:t xml:space="preserve"> di-restart, dapat diakses melalui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/riwayat dan /statistik, dan terbukti berfungsi sebagai basis konteks data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i w:val="false"/>
          <w:iCs w:val="false"/>
          <w:sz w:val="24"/>
          <w:szCs w:val="24"/>
        </w:rPr>
        <w:t xml:space="preserve"> bagi fitur Generate Insight, sebagaimana dibuktikan pada skenario pengujian nomor 10 di Tabel 4.1.</w:t>
      </w:r>
    </w:p>
    <w:p>
      <w:pPr>
        <w:spacing w:after="200" w:line="360"/>
        <w:jc w:val="both"/>
      </w:pPr>
      <w:r>
        <w:rPr>
          <w:rFonts w:ascii="Times New Roman" w:cs="Times New Roman" w:eastAsia="Times New Roman" w:hAnsi="Times New Roman"/>
          <w:b w:val="false"/>
          <w:bCs w:val="false"/>
          <w:i w:val="false"/>
          <w:iCs w:val="false"/>
          <w:sz w:val="24"/>
          <w:szCs w:val="24"/>
        </w:rPr>
        <w:t xml:space="preserve">Di luar kelima rumusan masalah tersebut, penelitian ini turut memberi tiga kontribusi tambahan hasil audit metodologi yang memperkuat kredibilitas akademik penelitian. Pertama,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menggunakan GridSearchCV (Sub-bab 4.10.2) membuktikan bahwa parameter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digunakan sistem (alpha=0,1 dan C=1,0) sudah berada di sekitar wilayah optimal, dengan potensi perbaikan tipis pada alpha=0,5 (87,95%) dan C=0,5 (89,19%). Kedua, studi ablasi preprocessing (Sub-bab 4.11) mengungkap temuan penting bahwa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berbasis PySastrawi menurunkan akurasi karena turut menghapus kata negasi ('tidak', 'kurang', 'belum'), sebuah kontribusi metodologis yang relevan bagi penelitian sentiment analysis Bahasa Indonesia secara umum, tidak terbatas pada penelitian ini saja. Ketiga, </w:t>
      </w:r>
      <w:r>
        <w:rPr>
          <w:rFonts w:ascii="Times New Roman" w:cs="Times New Roman" w:eastAsia="Times New Roman" w:hAnsi="Times New Roman"/>
          <w:b w:val="false"/>
          <w:bCs w:val="false"/>
          <w:i/>
          <w:iCs/>
          <w:sz w:val="24"/>
          <w:szCs w:val="24"/>
        </w:rPr>
        <w:t xml:space="preserve">error analysis</w:t>
      </w:r>
      <w:r>
        <w:rPr>
          <w:rFonts w:ascii="Times New Roman" w:cs="Times New Roman" w:eastAsia="Times New Roman" w:hAnsi="Times New Roman"/>
          <w:b w:val="false"/>
          <w:bCs w:val="false"/>
          <w:i w:val="false"/>
          <w:iCs w:val="false"/>
          <w:sz w:val="24"/>
          <w:szCs w:val="24"/>
        </w:rPr>
        <w:t xml:space="preserve"> (Sub-bab 4.12) mengidentifikasi tiga pola kesalahan klasifikasi yang konsisten (ulasan satu kata, struktur kalimat kontras, dan sentimen negatif implisit), yang menjelaskan secara kualitatif mengapa akurasi model secara teoritis dibatasi pada kisaran 88-89% pada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ini. Hasil pada Tabel 4.14 menempatkan titik data baru pada peta perdebatan Naive Bayes versus SVM secara spesifik pada konteks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berbahasa Indonesia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sekaligus membuktikan melalui sistem SentimenAI yang beroperasi penuh dan diukur waktu responsnya (median 6,51 ms, Sub-bab 4.8) bahwa model klasik yang telah lama diteliti secara akademik tetap layak dan efisien untuk dibungkus menjadi layanan produksi, tanpa harus menunggu kematangan model Transformer yang menuntut sumber daya jauh lebih besar. Dengan demikian, dapat disimpulkan bahwa sistem SentimenAI yang dikembangkan pada penelitian ini layak digunakan sebagai alat bantu analisis sentimen yang akurat, teruji secara berlapis (black box, white box, boundary,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dan heuristic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dan informatif, serta berhasil mencapai seluruh tujuan penelitian yang ditetapkan pada Sub-bab 1.4.</w:t>
      </w:r>
    </w:p>
    <w:p>
      <w:pPr>
        <w:pStyle w:val="Heading2"/>
        <w:spacing w:after="200" w:before="300"/>
      </w:pPr>
      <w:r>
        <w:rPr>
          <w:rFonts w:ascii="Times New Roman" w:cs="Times New Roman" w:eastAsia="Times New Roman" w:hAnsi="Times New Roman"/>
          <w:b/>
          <w:bCs/>
          <w:color w:val="000000"/>
          <w:sz w:val="26"/>
          <w:szCs w:val="26"/>
        </w:rPr>
        <w:t xml:space="preserve">5.2 Threats to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Sebagaimana lazimnya penelitian empiris, hasil penelitian ini perlu dibaca dengan memperhatikan sejumlah ancaman terhadap validitas yang diidentifikasi secara jujur sebagai berikut, mengikuti kerangka validitas internal, eksternal, dan konstruk yang umum digunakan pada penelitian rekayasa perangkat lunak dan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pStyle w:val="Heading3"/>
        <w:spacing w:after="150" w:before="250"/>
      </w:pPr>
      <w:r>
        <w:rPr>
          <w:rFonts w:ascii="Times New Roman" w:cs="Times New Roman" w:eastAsia="Times New Roman" w:hAnsi="Times New Roman"/>
          <w:b/>
          <w:bCs/>
          <w:i/>
          <w:iCs/>
          <w:color w:val="000000"/>
          <w:sz w:val="24"/>
          <w:szCs w:val="24"/>
        </w:rPr>
        <w:t xml:space="preserve">5.2.1 Validitas Internal</w:t>
      </w:r>
    </w:p>
    <w:p>
      <w:pPr>
        <w:spacing w:after="200" w:line="360"/>
        <w:jc w:val="both"/>
      </w:pPr>
      <w:r>
        <w:rPr>
          <w:rFonts w:ascii="Times New Roman" w:cs="Times New Roman" w:eastAsia="Times New Roman" w:hAnsi="Times New Roman"/>
          <w:b w:val="false"/>
          <w:bCs w:val="false"/>
          <w:i w:val="false"/>
          <w:iCs w:val="false"/>
          <w:sz w:val="24"/>
          <w:szCs w:val="24"/>
        </w:rPr>
        <w:t xml:space="preserve">Ancaman validitas internal utama pada penelitian ini adalah domain isi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Sebagaimana diungkap pada analisis kualitas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(Sub-bab 3.1.1.2), pemeriksaan manual terhadap sampel data menemukan bahwa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yang digunakan didominasi ulasan tempat makan dan kuliner, bukan murni ulasan barang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dalam pengertian sempit. Hal ini berarti hasil perbandingan Naive Bayes dan SVM pada penelitian ini paling valid untuk digeneralisasi pada ulasan berbasis pengalaman konsumen secara umum, dan perlu kehati-hatian bila hendak digeneralisasi secara sempit hanya pada ulasan barang fisik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Ancaman kedua adalah evaluasi model yang hanya menggunakan satu skema pembagian data latih-uji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(meskipun telah diperkuat dengan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Sub-bab 4.10.1), sehingga variasi hasil akibat pengacakan data (random seed) pada skema pembagian yang berbeda belum sepenuhnya dieksplorasi.</w:t>
      </w:r>
    </w:p>
    <w:p>
      <w:pPr>
        <w:pStyle w:val="Heading3"/>
        <w:spacing w:after="150" w:before="250"/>
      </w:pPr>
      <w:r>
        <w:rPr>
          <w:rFonts w:ascii="Times New Roman" w:cs="Times New Roman" w:eastAsia="Times New Roman" w:hAnsi="Times New Roman"/>
          <w:b/>
          <w:bCs/>
          <w:i/>
          <w:iCs/>
          <w:color w:val="000000"/>
          <w:sz w:val="24"/>
          <w:szCs w:val="24"/>
        </w:rPr>
        <w:t xml:space="preserve">5.2.2 Validitas Eksternal</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penelitian ini diperoleh dari satu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spesifik (10.192 data dari sepidmnorozy/Indonesian_sentiment) dan satu konfigurasi preprocessing serta representasi fitur (TF-IDF, ngram 1-2, 10.000 fitur). Generalisasi hasil ke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lain dengan karakteristik berbeda, misalnya ulasan berbahasa daerah campuran (code-switching) atau ulasan dengan volume data yang jauh lebih besar sebagaimana pada penelitian Zahra, dkk. (2026), perlu dilakukan dengan pengujian ulang, bukan diasumsikan otomatis berlaku sama, sejalan dengan simpulan Danyal, dkk. (2023) mengenai sensitivitas performa algoritma terhadap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w:t>
      </w:r>
    </w:p>
    <w:p>
      <w:pPr>
        <w:pStyle w:val="Heading3"/>
        <w:spacing w:after="150" w:before="250"/>
      </w:pPr>
      <w:r>
        <w:rPr>
          <w:rFonts w:ascii="Times New Roman" w:cs="Times New Roman" w:eastAsia="Times New Roman" w:hAnsi="Times New Roman"/>
          <w:b/>
          <w:bCs/>
          <w:i/>
          <w:iCs/>
          <w:color w:val="000000"/>
          <w:sz w:val="24"/>
          <w:szCs w:val="24"/>
        </w:rPr>
        <w:t xml:space="preserve">5.2.3 Validitas Konstruk</w:t>
      </w:r>
    </w:p>
    <w:p>
      <w:pPr>
        <w:spacing w:after="200" w:line="360"/>
        <w:jc w:val="both"/>
      </w:pPr>
      <w:r>
        <w:rPr>
          <w:rFonts w:ascii="Times New Roman" w:cs="Times New Roman" w:eastAsia="Times New Roman" w:hAnsi="Times New Roman"/>
          <w:b w:val="false"/>
          <w:bCs w:val="false"/>
          <w:i w:val="false"/>
          <w:iCs w:val="false"/>
          <w:sz w:val="24"/>
          <w:szCs w:val="24"/>
        </w:rPr>
        <w:t xml:space="preserve">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pada Sub-bab 4.9 menggunakan heuristic evaluation yang dilakukan oleh peneliti sendiri sebagai evaluator tunggal, bukan User Acceptance </w:t>
      </w:r>
      <w:r>
        <w:rPr>
          <w:rFonts w:ascii="Times New Roman" w:cs="Times New Roman" w:eastAsia="Times New Roman" w:hAnsi="Times New Roman"/>
          <w:b w:val="false"/>
          <w:bCs w:val="false"/>
          <w:i/>
          <w:iCs/>
          <w:sz w:val="24"/>
          <w:szCs w:val="24"/>
        </w:rPr>
        <w:t xml:space="preserve">Testing</w:t>
      </w:r>
      <w:r>
        <w:rPr>
          <w:rFonts w:ascii="Times New Roman" w:cs="Times New Roman" w:eastAsia="Times New Roman" w:hAnsi="Times New Roman"/>
          <w:b w:val="false"/>
          <w:bCs w:val="false"/>
          <w:i w:val="false"/>
          <w:iCs w:val="false"/>
          <w:sz w:val="24"/>
          <w:szCs w:val="24"/>
        </w:rPr>
        <w:t xml:space="preserve"> dengan responden pengguna nyata dari kalangan pelaku usaha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Hasil evaluasi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tersebut karenanya mengukur konstruk 'kepatuhan terhadap prinsip desain baku' dan bukan konstruk 'kepuasan pengguna aktual', sehingga tidak dapat menggantikan sepenuhnya validasi penerimaan pengguna yang idealnya dilakukan melalui studi lapangan dengan responden nyata, sebagaimana dicatat sebagai saran pengembangan pada Sub-bab 5.3.</w:t>
      </w:r>
    </w:p>
    <w:p>
      <w:pPr>
        <w:pStyle w:val="Heading2"/>
        <w:spacing w:after="200" w:before="300"/>
      </w:pPr>
      <w:r>
        <w:rPr>
          <w:rFonts w:ascii="Times New Roman" w:cs="Times New Roman" w:eastAsia="Times New Roman" w:hAnsi="Times New Roman"/>
          <w:b/>
          <w:bCs/>
          <w:color w:val="000000"/>
          <w:sz w:val="26"/>
          <w:szCs w:val="26"/>
        </w:rPr>
        <w:t xml:space="preserve">5.3 Saran</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hasil penelitian, pengujian, dan batasan masalah pada Sub-bab 1.3, serta Threats to Validity pada Sub-bab 5.2, berikut saran bagi pengembangan penelitian selanjutnya:</w:t>
      </w:r>
    </w:p>
    <w:p>
      <w:pPr>
        <w:spacing w:after="15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i w:val="false"/>
          <w:iCs w:val="false"/>
          <w:sz w:val="24"/>
          <w:szCs w:val="24"/>
        </w:rPr>
        <w:t xml:space="preserve">Perbaiki daftar stopword PySastrawi dengan mengecualikan kata negasi ('tidak', 'kurang', 'belum', 'jangan') sebelum diterapkan pada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i w:val="false"/>
          <w:iCs w:val="false"/>
          <w:sz w:val="24"/>
          <w:szCs w:val="24"/>
        </w:rPr>
        <w:t xml:space="preserve"> preprocessing, mengingat temuan ablasi pada Sub-bab 4.11 membuktikan penghapusan kata negasi menurunkan akurasi hingga 3,36 poin persentase; perbaikan ini menjadi prioritas tertinggi karena berdampak langsung pada akurasi klasifikasi.</w:t>
      </w:r>
    </w:p>
    <w:p>
      <w:pPr>
        <w:spacing w:after="15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i w:val="false"/>
          <w:iCs w:val="false"/>
          <w:sz w:val="24"/>
          <w:szCs w:val="24"/>
        </w:rPr>
        <w:t xml:space="preserve">Perbarui parameter model menjadi alpha=0,5 (Naive Bayes) dan C=0,5 (SVM) sesuai hasil GridSearchCV pada Sub-bab 4.10.2 yang terbukti memberi peningkatan akurasi tipis namun konsisten pada data uji.</w:t>
      </w:r>
    </w:p>
    <w:p>
      <w:pPr>
        <w:spacing w:after="15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i w:val="false"/>
          <w:iCs w:val="false"/>
          <w:sz w:val="24"/>
          <w:szCs w:val="24"/>
        </w:rPr>
        <w:t xml:space="preserve">Tambahkan validasi teks pasca-preprocessing pada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i w:val="false"/>
          <w:iCs w:val="false"/>
          <w:sz w:val="24"/>
          <w:szCs w:val="24"/>
        </w:rPr>
        <w:t xml:space="preserve"> /prediksi (bukan hanya validasi teks mentah) untuk mengatasi temuan pada Sub-bab 4.5, yaitu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i w:val="false"/>
          <w:iCs w:val="false"/>
          <w:sz w:val="24"/>
          <w:szCs w:val="24"/>
        </w:rPr>
        <w:t xml:space="preserve"> berupa angka/simbol/emoji yang menghasilkan teks bersih kosong namun tetap diberi label prediksi yang tidak bermakna.</w:t>
      </w:r>
    </w:p>
    <w:p>
      <w:pPr>
        <w:spacing w:after="15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i w:val="false"/>
          <w:iCs w:val="false"/>
          <w:sz w:val="24"/>
          <w:szCs w:val="24"/>
        </w:rPr>
        <w:t xml:space="preserve">Lakukan User Acceptance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dengan responden nyata dari kalangan pelaku usaha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untuk melengkapi heuristic evaluation pada Sub-bab 4.9 yang masih bersifat evaluasi mandiri peneliti, sebagaimana dicatat sebagai ancaman validitas konstruk pada Sub-bab 5.2.3.</w:t>
      </w:r>
    </w:p>
    <w:p>
      <w:pPr>
        <w:spacing w:after="15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i w:val="false"/>
          <w:iCs w:val="false"/>
          <w:sz w:val="24"/>
          <w:szCs w:val="24"/>
        </w:rPr>
        <w:t xml:space="preserve">Uji ulang perbandingan Naive Bayes dan SVM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ulasan yang secara eksplisit berdomain barang </w:t>
      </w:r>
      <w:r>
        <w:rPr>
          <w:rFonts w:ascii="Times New Roman" w:cs="Times New Roman" w:eastAsia="Times New Roman" w:hAnsi="Times New Roman"/>
          <w:i/>
          <w:iCs/>
          <w:sz w:val="24"/>
          <w:szCs w:val="24"/>
        </w:rPr>
        <w:t xml:space="preserve">e-commerce</w:t>
      </w:r>
      <w:r>
        <w:rPr>
          <w:rFonts w:ascii="Times New Roman" w:cs="Times New Roman" w:eastAsia="Times New Roman" w:hAnsi="Times New Roman"/>
          <w:i w:val="false"/>
          <w:iCs w:val="false"/>
          <w:sz w:val="24"/>
          <w:szCs w:val="24"/>
        </w:rPr>
        <w:t xml:space="preserve"> (bukan dominan kuliner sebagaimana temuan Sub-bab 3.1.1.2), misalnya melalui </w:t>
      </w:r>
      <w:r>
        <w:rPr>
          <w:rFonts w:ascii="Times New Roman" w:cs="Times New Roman" w:eastAsia="Times New Roman" w:hAnsi="Times New Roman"/>
          <w:i/>
          <w:iCs/>
          <w:sz w:val="24"/>
          <w:szCs w:val="24"/>
        </w:rPr>
        <w:t xml:space="preserve">web scraping</w:t>
      </w:r>
      <w:r>
        <w:rPr>
          <w:rFonts w:ascii="Times New Roman" w:cs="Times New Roman" w:eastAsia="Times New Roman" w:hAnsi="Times New Roman"/>
          <w:i w:val="false"/>
          <w:iCs w:val="false"/>
          <w:sz w:val="24"/>
          <w:szCs w:val="24"/>
        </w:rPr>
        <w:t xml:space="preserve"> langsung dari Tokopedia atau Shopee, untuk memperkuat validitas eksternal hasil penelitian.</w:t>
      </w:r>
    </w:p>
    <w:p>
      <w:pPr>
        <w:spacing w:after="15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i w:val="false"/>
          <w:iCs w:val="false"/>
          <w:sz w:val="24"/>
          <w:szCs w:val="24"/>
        </w:rPr>
        <w:t xml:space="preserve">Uji perbandingan Naive Bayes dan SVM dengan pendekatan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i w:val="false"/>
          <w:iCs w:val="false"/>
          <w:sz w:val="24"/>
          <w:szCs w:val="24"/>
        </w:rPr>
        <w:t xml:space="preserve"> IndoBERT secara langsung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yang sama, mengingat penelitian Zahra, dkk. (2026) menunjukkan bahwa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i w:val="false"/>
          <w:iCs w:val="false"/>
          <w:sz w:val="24"/>
          <w:szCs w:val="24"/>
        </w:rPr>
        <w:t xml:space="preserve"> yang kurang optimal dapat membuat IndoBERT kalah dari SVM, sehingga menarik diuji apakah pola serupa berlaku pada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penelitian ini.</w:t>
      </w:r>
    </w:p>
    <w:p>
      <w:pPr>
        <w:spacing w:after="15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i w:val="false"/>
          <w:iCs w:val="false"/>
          <w:sz w:val="24"/>
          <w:szCs w:val="24"/>
        </w:rPr>
        <w:t xml:space="preserve">Perluas klasifikasi menjadi tiga kelas dengan kategori netral sebagaimana diterapkan Ali, dkk. (2024) dan Zahra, dkk. (2026), disertai penanganan ketidakseimbangan kelas (64,7% berbanding 35,3% pada Sub-bab 3.1.1.1) menggunakan </w:t>
      </w:r>
      <w:r>
        <w:rPr>
          <w:rFonts w:ascii="Times New Roman" w:cs="Times New Roman" w:eastAsia="Times New Roman" w:hAnsi="Times New Roman"/>
          <w:i/>
          <w:iCs/>
          <w:sz w:val="24"/>
          <w:szCs w:val="24"/>
        </w:rPr>
        <w:t xml:space="preserve">class_weight balanced</w:t>
      </w:r>
      <w:r>
        <w:rPr>
          <w:rFonts w:ascii="Times New Roman" w:cs="Times New Roman" w:eastAsia="Times New Roman" w:hAnsi="Times New Roman"/>
          <w:i w:val="false"/>
          <w:iCs w:val="false"/>
          <w:sz w:val="24"/>
          <w:szCs w:val="24"/>
        </w:rPr>
        <w:t xml:space="preserve">.</w:t>
      </w:r>
    </w:p>
    <w:p>
      <w:pPr>
        <w:spacing w:after="15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i w:val="false"/>
          <w:iCs w:val="false"/>
          <w:sz w:val="24"/>
          <w:szCs w:val="24"/>
        </w:rPr>
        <w:t xml:space="preserve">Lakukan </w:t>
      </w:r>
      <w:r>
        <w:rPr>
          <w:rFonts w:ascii="Times New Roman" w:cs="Times New Roman" w:eastAsia="Times New Roman" w:hAnsi="Times New Roman"/>
          <w:i/>
          <w:iCs/>
          <w:sz w:val="24"/>
          <w:szCs w:val="24"/>
        </w:rPr>
        <w:t xml:space="preserve">deployment</w:t>
      </w:r>
      <w:r>
        <w:rPr>
          <w:rFonts w:ascii="Times New Roman" w:cs="Times New Roman" w:eastAsia="Times New Roman" w:hAnsi="Times New Roman"/>
          <w:i w:val="false"/>
          <w:iCs w:val="false"/>
          <w:sz w:val="24"/>
          <w:szCs w:val="24"/>
        </w:rPr>
        <w:t xml:space="preserve"> ke layanan produksi seperti Vercel (</w:t>
      </w:r>
      <w:r>
        <w:rPr>
          <w:rFonts w:ascii="Times New Roman" w:cs="Times New Roman" w:eastAsia="Times New Roman" w:hAnsi="Times New Roman"/>
          <w:i/>
          <w:iCs/>
          <w:sz w:val="24"/>
          <w:szCs w:val="24"/>
        </w:rPr>
        <w:t xml:space="preserve">frontend</w:t>
      </w:r>
      <w:r>
        <w:rPr>
          <w:rFonts w:ascii="Times New Roman" w:cs="Times New Roman" w:eastAsia="Times New Roman" w:hAnsi="Times New Roman"/>
          <w:i w:val="false"/>
          <w:iCs w:val="false"/>
          <w:sz w:val="24"/>
          <w:szCs w:val="24"/>
        </w:rPr>
        <w:t xml:space="preserve">) dan Hugging Face Spaces atau Docker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i w:val="false"/>
          <w:iCs w:val="false"/>
          <w:sz w:val="24"/>
          <w:szCs w:val="24"/>
        </w:rPr>
        <w:t xml:space="preserve">), sebagaimana dicontohkan Zahra, dkk. (2026), disertai </w:t>
      </w:r>
      <w:r>
        <w:rPr>
          <w:rFonts w:ascii="Times New Roman" w:cs="Times New Roman" w:eastAsia="Times New Roman" w:hAnsi="Times New Roman"/>
          <w:i/>
          <w:iCs/>
          <w:sz w:val="24"/>
          <w:szCs w:val="24"/>
        </w:rPr>
        <w:t xml:space="preserve">load testing</w:t>
      </w:r>
      <w:r>
        <w:rPr>
          <w:rFonts w:ascii="Times New Roman" w:cs="Times New Roman" w:eastAsia="Times New Roman" w:hAnsi="Times New Roman"/>
          <w:i w:val="false"/>
          <w:iCs w:val="false"/>
          <w:sz w:val="24"/>
          <w:szCs w:val="24"/>
        </w:rPr>
        <w:t xml:space="preserve"> untuk mengukur kapasitas maksimum permintaan API secara bersamaan, melengkapi pengukuran </w:t>
      </w:r>
      <w:r>
        <w:rPr>
          <w:rFonts w:ascii="Times New Roman" w:cs="Times New Roman" w:eastAsia="Times New Roman" w:hAnsi="Times New Roman"/>
          <w:i/>
          <w:iCs/>
          <w:sz w:val="24"/>
          <w:szCs w:val="24"/>
        </w:rPr>
        <w:t xml:space="preserve">response</w:t>
      </w:r>
      <w:r>
        <w:rPr>
          <w:rFonts w:ascii="Times New Roman" w:cs="Times New Roman" w:eastAsia="Times New Roman" w:hAnsi="Times New Roman"/>
          <w:i w:val="false"/>
          <w:iCs w:val="false"/>
          <w:sz w:val="24"/>
          <w:szCs w:val="24"/>
        </w:rPr>
        <w:t xml:space="preserve"> time pada kondisi beban rendah di Sub-bab 4.8.</w:t>
      </w:r>
    </w:p>
    <w:p>
      <w:pPr>
        <w:spacing w:after="150" w:line="360"/>
        <w:ind w:left="72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i w:val="false"/>
          <w:iCs w:val="false"/>
          <w:sz w:val="24"/>
          <w:szCs w:val="24"/>
        </w:rPr>
        <w:t xml:space="preserve">Eksplorasi model bahasa lokal (</w:t>
      </w:r>
      <w:r>
        <w:rPr>
          <w:rFonts w:ascii="Times New Roman" w:cs="Times New Roman" w:eastAsia="Times New Roman" w:hAnsi="Times New Roman"/>
          <w:i/>
          <w:iCs/>
          <w:sz w:val="24"/>
          <w:szCs w:val="24"/>
        </w:rPr>
        <w:t xml:space="preserve">self-hosted</w:t>
      </w:r>
      <w:r>
        <w:rPr>
          <w:rFonts w:ascii="Times New Roman" w:cs="Times New Roman" w:eastAsia="Times New Roman" w:hAnsi="Times New Roman"/>
          <w:i w:val="false"/>
          <w:iCs w:val="false"/>
          <w:sz w:val="24"/>
          <w:szCs w:val="24"/>
        </w:rPr>
        <w:t xml:space="preserve"> LLM) sebagai alternatif Gemini API pada fitur Generate Insight untuk mengurangi ketergantungan pada layanan pihak ketiga dan risiko keterbatasan kuota di masa mendatang.</w:t>
      </w:r>
    </w:p>
    <w:p>
      <w:pPr>
        <w:spacing w:after="400"/>
        <w:jc w:val="center"/>
      </w:pPr>
      <w:r>
        <w:rPr>
          <w:rFonts w:ascii="Times New Roman" w:cs="Times New Roman" w:eastAsia="Times New Roman" w:hAnsi="Times New Roman"/>
          <w:b/>
          <w:bCs/>
          <w:sz w:val="28"/>
          <w:szCs w:val="28"/>
        </w:rPr>
        <w:t xml:space="preserve">DAFTAR PUSTAKA</w:t>
      </w:r>
    </w:p>
    <w:p>
      <w:pPr>
        <w:spacing w:after="200" w:line="360"/>
        <w:ind w:left="720" w:hanging="720"/>
        <w:jc w:val="both"/>
      </w:pPr>
      <w:r>
        <w:rPr>
          <w:rFonts w:ascii="Times New Roman" w:cs="Times New Roman" w:eastAsia="Times New Roman" w:hAnsi="Times New Roman"/>
          <w:sz w:val="24"/>
          <w:szCs w:val="24"/>
        </w:rPr>
        <w:t xml:space="preserve">Ali, H., Hashmi, E., Yayilgan Yildirim, S., &amp; Shaikh, S. (2024). Analyzing Amazon products sentiment: A comparative study of machine and deep learning, and transformer-based techniques. Electronics, 13(7), 1305. https://doi.org/10.3390/electronics13071305</w:t>
      </w:r>
    </w:p>
    <w:p>
      <w:pPr>
        <w:spacing w:after="200" w:line="360"/>
        <w:ind w:left="720" w:hanging="720"/>
        <w:jc w:val="both"/>
      </w:pPr>
      <w:r>
        <w:rPr>
          <w:rFonts w:ascii="Times New Roman" w:cs="Times New Roman" w:eastAsia="Times New Roman" w:hAnsi="Times New Roman"/>
          <w:sz w:val="24"/>
          <w:szCs w:val="24"/>
        </w:rPr>
        <w:t xml:space="preserve">Apriyani, M. E., Nur, A. F., &amp; Astuti, E. S. (2024). Performance comparison of Naive Bayes and SVM algorithms in sentiment analysis on JKN application data. Knowbase: International Journal of Knowledge in Database, 4(2), 180-188. https://ejournal.uinbukittinggi.ac.id/index.php/ijokid</w:t>
      </w:r>
    </w:p>
    <w:p>
      <w:pPr>
        <w:spacing w:after="200" w:line="360"/>
        <w:ind w:left="720" w:hanging="720"/>
        <w:jc w:val="both"/>
      </w:pPr>
      <w:r>
        <w:rPr>
          <w:rFonts w:ascii="Times New Roman" w:cs="Times New Roman" w:eastAsia="Times New Roman" w:hAnsi="Times New Roman"/>
          <w:sz w:val="24"/>
          <w:szCs w:val="24"/>
        </w:rPr>
        <w:t xml:space="preserve">Danyal, M. M., Khan, S. S., Khan, M., Ghaffar, M. B., Khan, B., &amp; Arshad, M. (2023). Sentiment analysis based on performance of linear Support Vector Machine and Multinomial Naive Bayes using movie reviews with baseline techniques. Journal of Big Data, 11, Article 137. https://doi.org/10.32604/jbd.2023.041319</w:t>
      </w:r>
    </w:p>
    <w:p>
      <w:pPr>
        <w:spacing w:after="200" w:line="360"/>
        <w:ind w:left="720" w:hanging="720"/>
        <w:jc w:val="both"/>
      </w:pPr>
      <w:r>
        <w:rPr>
          <w:rFonts w:ascii="Times New Roman" w:cs="Times New Roman" w:eastAsia="Times New Roman" w:hAnsi="Times New Roman"/>
          <w:sz w:val="24"/>
          <w:szCs w:val="24"/>
        </w:rPr>
        <w:t xml:space="preserve">Hidayah, N. A., &amp; Rofiqoh, N. (2024). Evaluasi software Visual Studio Code menggunakan metode Quetionnaires Nelsen's Attributes of Usability (NAU). Jurnal Perangkat Lunak, 6(3), 382-391. https://doi.org/10.32520/jupel.v6i3.3383</w:t>
      </w:r>
    </w:p>
    <w:p>
      <w:pPr>
        <w:spacing w:after="200" w:line="360"/>
        <w:ind w:left="720" w:hanging="720"/>
        <w:jc w:val="both"/>
      </w:pPr>
      <w:r>
        <w:rPr>
          <w:rFonts w:ascii="Times New Roman" w:cs="Times New Roman" w:eastAsia="Times New Roman" w:hAnsi="Times New Roman"/>
          <w:sz w:val="24"/>
          <w:szCs w:val="24"/>
        </w:rPr>
        <w:t xml:space="preserve">Jartarghar, H. A., Salanke, G. R., Ashok Kumar, A. R., Sharvani, G. S., &amp; Dalali, S. (2022). React apps with server-side rendering: Next.js. Journal of Telecommunication, Electronic and Computer Engineering, 14(4), 23-29.</w:t>
      </w:r>
    </w:p>
    <w:p>
      <w:pPr>
        <w:spacing w:after="200" w:line="360"/>
        <w:ind w:left="720" w:hanging="720"/>
        <w:jc w:val="both"/>
      </w:pPr>
      <w:r>
        <w:rPr>
          <w:rFonts w:ascii="Times New Roman" w:cs="Times New Roman" w:eastAsia="Times New Roman" w:hAnsi="Times New Roman"/>
          <w:sz w:val="24"/>
          <w:szCs w:val="24"/>
        </w:rPr>
        <w:t xml:space="preserve">Latifah, K., Handayanto, A., Dwi M.S, N. L., Bhandari, R., Hien, T. N. T., &amp; Pirnazarov, D. (2026). Comparative evaluation of automatic labeling and modeling strategies for Indonesian sentiment analysis: Methodology and performance evaluation. Advance Sustainable Science, Engineering and Technology, 8(3), 0260308-01-0260308-016. https://doi.org/10.26877/asset.v8i3.2862</w:t>
      </w:r>
    </w:p>
    <w:p>
      <w:pPr>
        <w:spacing w:after="200" w:line="360"/>
        <w:ind w:left="720" w:hanging="720"/>
        <w:jc w:val="both"/>
      </w:pPr>
      <w:r>
        <w:rPr>
          <w:rFonts w:ascii="Times New Roman" w:cs="Times New Roman" w:eastAsia="Times New Roman" w:hAnsi="Times New Roman"/>
          <w:sz w:val="24"/>
          <w:szCs w:val="24"/>
        </w:rPr>
        <w:t xml:space="preserve">Lhoest, Q., Villanova del Moral, A., Jernite, Y., Thakur, A., von Platen, P., Patil, S., Chaumond, J., Drame, M., Plu, J., Tunstall, L., Davison, J., Sasko, M., Chhablani, G., Malik, B., Brandeis, S., Le Scao, T., Sanh, V., Xu, C., Patry, N., ... Wolf, T. (2021). Datasets: A community library for natural language processing. Proceedings of the 2021 Conference on Empirical Methods in Natural Language Processing: System Demonstrations, 175-184. Association for Computational Linguistics.</w:t>
      </w:r>
    </w:p>
    <w:p>
      <w:pPr>
        <w:spacing w:after="200" w:line="360"/>
        <w:ind w:left="720" w:hanging="720"/>
        <w:jc w:val="both"/>
      </w:pPr>
      <w:r>
        <w:rPr>
          <w:rFonts w:ascii="Times New Roman" w:cs="Times New Roman" w:eastAsia="Times New Roman" w:hAnsi="Times New Roman"/>
          <w:sz w:val="24"/>
          <w:szCs w:val="24"/>
        </w:rPr>
        <w:t xml:space="preserve">Maulyanda, &amp; Nazhifah, S. A. (2025). Sentiment analysis of mental health using Support Vector Machine (SVM) with FastAPI implementation. Brilliance: Research of Artificial Intelligence, 5(1), 60-71. https://doi.org/10.47709/brilliance.v5i1.6580</w:t>
      </w:r>
    </w:p>
    <w:p>
      <w:pPr>
        <w:spacing w:after="200" w:line="360"/>
        <w:ind w:left="720" w:hanging="720"/>
        <w:jc w:val="both"/>
      </w:pPr>
      <w:r>
        <w:rPr>
          <w:rFonts w:ascii="Times New Roman" w:cs="Times New Roman" w:eastAsia="Times New Roman" w:hAnsi="Times New Roman"/>
          <w:sz w:val="24"/>
          <w:szCs w:val="24"/>
        </w:rPr>
        <w:t xml:space="preserve">Sanjaya, T. P. R., Fauzi, A., &amp; Masruriyah, A. F. N. (2023). Analisis sentimen ulasan pada e-commerce Shopee menggunakan algoritma Naive Bayes dan Support Vector Machine. INFOTECH: Jurnal Informatika &amp; Teknologi, 4(1), 16-26. https://doi.org/10.37373/infotech.v4i1.422</w:t>
      </w:r>
    </w:p>
    <w:p>
      <w:pPr>
        <w:spacing w:after="200" w:line="360"/>
        <w:ind w:left="720" w:hanging="720"/>
        <w:jc w:val="both"/>
      </w:pPr>
      <w:r>
        <w:rPr>
          <w:rFonts w:ascii="Times New Roman" w:cs="Times New Roman" w:eastAsia="Times New Roman" w:hAnsi="Times New Roman"/>
          <w:sz w:val="24"/>
          <w:szCs w:val="24"/>
        </w:rPr>
        <w:t xml:space="preserve">Zahra, N. Z., Farhanatussaidah, S., Afifah, N. N., Muthoharoh, L., Satria, A., &amp; Manullang, M. C. T. (2026). Benchmarking Logistic Regression, SVM, Naive Bayes, and IndoBERT fine-tuning for sentiment analysis on Indonesian product reviews. arXiv. https://doi.org/10.48550/arXiv.2605.03439</w:t>
      </w:r>
    </w:p>
    <w:sectPr>
      <w:head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2026-07-18T19:54:04.244Z</dcterms:created>
  <dcterms:modified xsi:type="dcterms:W3CDTF">2026-07-18T19:54:04.244Z</dcterms:modified>
</cp:coreProperties>
</file>

<file path=docProps/custom.xml><?xml version="1.0" encoding="utf-8"?>
<Properties xmlns="http://schemas.openxmlformats.org/officeDocument/2006/custom-properties" xmlns:vt="http://schemas.openxmlformats.org/officeDocument/2006/docPropsVTypes"/>
</file>