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5C21552" wp14:paraId="2C078E63" wp14:textId="2274F855">
      <w:pPr>
        <w:spacing w:line="480" w:lineRule="auto"/>
        <w:jc w:val="center"/>
        <w:rPr/>
      </w:pPr>
      <w:r w:rsidRPr="65C21552" w:rsidR="60D57BD2">
        <w:rPr>
          <w:rFonts w:ascii="Arial" w:hAnsi="Arial" w:eastAsia="Arial" w:cs="Arial"/>
        </w:rPr>
        <w:t>Risk Management Framework</w:t>
      </w:r>
    </w:p>
    <w:p w:rsidR="65C21552" w:rsidP="65C21552" w:rsidRDefault="65C21552" w14:paraId="29963C5D" w14:textId="1BABD675">
      <w:pPr>
        <w:pStyle w:val="Normal"/>
        <w:spacing w:line="480" w:lineRule="auto"/>
        <w:jc w:val="center"/>
        <w:rPr>
          <w:rFonts w:ascii="Arial" w:hAnsi="Arial" w:eastAsia="Arial" w:cs="Arial"/>
        </w:rPr>
      </w:pPr>
    </w:p>
    <w:p w:rsidR="60D57BD2" w:rsidP="65C21552" w:rsidRDefault="60D57BD2" w14:paraId="1FAE8A2E" w14:textId="666A0AA0">
      <w:pPr>
        <w:pStyle w:val="Normal"/>
        <w:spacing w:line="480" w:lineRule="auto"/>
        <w:jc w:val="center"/>
        <w:rPr>
          <w:rFonts w:ascii="Arial" w:hAnsi="Arial" w:eastAsia="Arial" w:cs="Arial"/>
        </w:rPr>
      </w:pPr>
      <w:r w:rsidRPr="65C21552" w:rsidR="60D57BD2">
        <w:rPr>
          <w:rFonts w:ascii="Arial" w:hAnsi="Arial" w:eastAsia="Arial" w:cs="Arial"/>
        </w:rPr>
        <w:t>Arturo Astorga</w:t>
      </w:r>
    </w:p>
    <w:p w:rsidR="60D57BD2" w:rsidP="65C21552" w:rsidRDefault="60D57BD2" w14:paraId="2E57B5C7" w14:textId="7815E4C6">
      <w:pPr>
        <w:pStyle w:val="Normal"/>
        <w:spacing w:line="480" w:lineRule="auto"/>
        <w:jc w:val="center"/>
        <w:rPr>
          <w:rFonts w:ascii="Arial" w:hAnsi="Arial" w:eastAsia="Arial" w:cs="Arial"/>
        </w:rPr>
      </w:pPr>
      <w:r w:rsidRPr="65C21552" w:rsidR="60D57BD2">
        <w:rPr>
          <w:rFonts w:ascii="Arial" w:hAnsi="Arial" w:eastAsia="Arial" w:cs="Arial"/>
        </w:rPr>
        <w:t>Department of Cybersecurity, Bellevue University</w:t>
      </w:r>
    </w:p>
    <w:p w:rsidR="60D57BD2" w:rsidP="65C21552" w:rsidRDefault="60D57BD2" w14:paraId="2C1C487D" w14:textId="78AA7BCB">
      <w:pPr>
        <w:pStyle w:val="Normal"/>
        <w:spacing w:line="480" w:lineRule="auto"/>
        <w:jc w:val="center"/>
        <w:rPr>
          <w:rFonts w:ascii="Arial" w:hAnsi="Arial" w:eastAsia="Arial" w:cs="Arial"/>
        </w:rPr>
      </w:pPr>
      <w:r w:rsidRPr="65C21552" w:rsidR="60D57BD2">
        <w:rPr>
          <w:rFonts w:ascii="Arial" w:hAnsi="Arial" w:eastAsia="Arial" w:cs="Arial"/>
        </w:rPr>
        <w:t>CIS608-T302 Information Security Mgmt</w:t>
      </w:r>
    </w:p>
    <w:p w:rsidR="60D57BD2" w:rsidP="65C21552" w:rsidRDefault="60D57BD2" w14:paraId="7D7ACD19" w14:textId="448D4240">
      <w:pPr>
        <w:pStyle w:val="Normal"/>
        <w:spacing w:line="480" w:lineRule="auto"/>
        <w:jc w:val="center"/>
        <w:rPr>
          <w:rFonts w:ascii="Arial" w:hAnsi="Arial" w:eastAsia="Arial" w:cs="Arial"/>
        </w:rPr>
      </w:pPr>
      <w:r w:rsidRPr="65C21552" w:rsidR="60D57BD2">
        <w:rPr>
          <w:rFonts w:ascii="Arial" w:hAnsi="Arial" w:eastAsia="Arial" w:cs="Arial"/>
        </w:rPr>
        <w:t>Dr. Lisa McKee</w:t>
      </w:r>
    </w:p>
    <w:p w:rsidR="60D57BD2" w:rsidP="65C21552" w:rsidRDefault="60D57BD2" w14:paraId="3810AB5D" w14:textId="1D545E95">
      <w:pPr>
        <w:pStyle w:val="Normal"/>
        <w:spacing w:line="480" w:lineRule="auto"/>
        <w:jc w:val="center"/>
        <w:rPr>
          <w:rFonts w:ascii="Arial" w:hAnsi="Arial" w:eastAsia="Arial" w:cs="Arial"/>
        </w:rPr>
      </w:pPr>
      <w:r w:rsidRPr="65C21552" w:rsidR="60D57BD2">
        <w:rPr>
          <w:rFonts w:ascii="Arial" w:hAnsi="Arial" w:eastAsia="Arial" w:cs="Arial"/>
        </w:rPr>
        <w:t>March 24, 2024</w:t>
      </w:r>
    </w:p>
    <w:p w:rsidR="65C21552" w:rsidP="65C21552" w:rsidRDefault="65C21552" w14:paraId="4DCE9279" w14:textId="4B83CC23">
      <w:pPr>
        <w:pStyle w:val="Normal"/>
        <w:spacing w:line="480" w:lineRule="auto"/>
        <w:jc w:val="center"/>
        <w:rPr>
          <w:rFonts w:ascii="Arial" w:hAnsi="Arial" w:eastAsia="Arial" w:cs="Arial"/>
        </w:rPr>
      </w:pPr>
    </w:p>
    <w:p w:rsidR="65C21552" w:rsidP="65C21552" w:rsidRDefault="65C21552" w14:paraId="3F98ED83" w14:textId="45603FD0">
      <w:pPr>
        <w:pStyle w:val="Normal"/>
        <w:spacing w:line="480" w:lineRule="auto"/>
        <w:jc w:val="center"/>
        <w:rPr>
          <w:rFonts w:ascii="Arial" w:hAnsi="Arial" w:eastAsia="Arial" w:cs="Arial"/>
        </w:rPr>
      </w:pPr>
    </w:p>
    <w:p w:rsidR="65C21552" w:rsidP="65C21552" w:rsidRDefault="65C21552" w14:paraId="35AD0B3A" w14:textId="56320131">
      <w:pPr>
        <w:pStyle w:val="Normal"/>
        <w:spacing w:line="480" w:lineRule="auto"/>
        <w:jc w:val="center"/>
        <w:rPr>
          <w:rFonts w:ascii="Arial" w:hAnsi="Arial" w:eastAsia="Arial" w:cs="Arial"/>
        </w:rPr>
      </w:pPr>
    </w:p>
    <w:p w:rsidR="65C21552" w:rsidP="65C21552" w:rsidRDefault="65C21552" w14:paraId="45824149" w14:textId="411189F2">
      <w:pPr>
        <w:pStyle w:val="Normal"/>
        <w:spacing w:line="480" w:lineRule="auto"/>
        <w:jc w:val="center"/>
        <w:rPr>
          <w:rFonts w:ascii="Arial" w:hAnsi="Arial" w:eastAsia="Arial" w:cs="Arial"/>
        </w:rPr>
      </w:pPr>
    </w:p>
    <w:p w:rsidR="65C21552" w:rsidP="65C21552" w:rsidRDefault="65C21552" w14:paraId="492C0AEE" w14:textId="1C37F95B">
      <w:pPr>
        <w:pStyle w:val="Normal"/>
        <w:spacing w:line="480" w:lineRule="auto"/>
        <w:jc w:val="center"/>
        <w:rPr>
          <w:rFonts w:ascii="Arial" w:hAnsi="Arial" w:eastAsia="Arial" w:cs="Arial"/>
        </w:rPr>
      </w:pPr>
    </w:p>
    <w:p w:rsidR="65C21552" w:rsidP="65C21552" w:rsidRDefault="65C21552" w14:paraId="6C229898" w14:textId="62483BD5">
      <w:pPr>
        <w:pStyle w:val="Normal"/>
        <w:spacing w:line="480" w:lineRule="auto"/>
        <w:jc w:val="center"/>
        <w:rPr>
          <w:rFonts w:ascii="Arial" w:hAnsi="Arial" w:eastAsia="Arial" w:cs="Arial"/>
        </w:rPr>
      </w:pPr>
    </w:p>
    <w:p w:rsidR="65C21552" w:rsidP="65C21552" w:rsidRDefault="65C21552" w14:paraId="78204687" w14:textId="06391830">
      <w:pPr>
        <w:pStyle w:val="Normal"/>
        <w:spacing w:line="480" w:lineRule="auto"/>
        <w:jc w:val="center"/>
        <w:rPr>
          <w:rFonts w:ascii="Arial" w:hAnsi="Arial" w:eastAsia="Arial" w:cs="Arial"/>
        </w:rPr>
      </w:pPr>
    </w:p>
    <w:p w:rsidR="65C21552" w:rsidP="65C21552" w:rsidRDefault="65C21552" w14:paraId="749D8D97" w14:textId="6719577F">
      <w:pPr>
        <w:pStyle w:val="Normal"/>
        <w:spacing w:line="480" w:lineRule="auto"/>
        <w:jc w:val="center"/>
        <w:rPr>
          <w:rFonts w:ascii="Arial" w:hAnsi="Arial" w:eastAsia="Arial" w:cs="Arial"/>
        </w:rPr>
      </w:pPr>
    </w:p>
    <w:p w:rsidR="65C21552" w:rsidP="65C21552" w:rsidRDefault="65C21552" w14:paraId="67663F34" w14:textId="1BB15032">
      <w:pPr>
        <w:pStyle w:val="Normal"/>
        <w:spacing w:line="480" w:lineRule="auto"/>
        <w:jc w:val="center"/>
        <w:rPr>
          <w:rFonts w:ascii="Arial" w:hAnsi="Arial" w:eastAsia="Arial" w:cs="Arial"/>
        </w:rPr>
      </w:pPr>
    </w:p>
    <w:p w:rsidR="65C21552" w:rsidP="65C21552" w:rsidRDefault="65C21552" w14:paraId="1E813F93" w14:textId="78333436">
      <w:pPr>
        <w:pStyle w:val="Normal"/>
        <w:spacing w:line="480" w:lineRule="auto"/>
        <w:jc w:val="center"/>
        <w:rPr>
          <w:rFonts w:ascii="Arial" w:hAnsi="Arial" w:eastAsia="Arial" w:cs="Arial"/>
        </w:rPr>
      </w:pPr>
    </w:p>
    <w:p w:rsidR="65C21552" w:rsidP="65C21552" w:rsidRDefault="65C21552" w14:paraId="1F70DD28" w14:textId="448DB97F">
      <w:pPr>
        <w:pStyle w:val="Normal"/>
        <w:spacing w:line="480" w:lineRule="auto"/>
        <w:jc w:val="center"/>
        <w:rPr>
          <w:rFonts w:ascii="Arial" w:hAnsi="Arial" w:eastAsia="Arial" w:cs="Arial"/>
        </w:rPr>
      </w:pPr>
    </w:p>
    <w:p w:rsidR="60D57BD2" w:rsidP="65C21552" w:rsidRDefault="60D57BD2" w14:paraId="6EA57B9E" w14:textId="0C1151CC">
      <w:pPr>
        <w:spacing w:before="0" w:beforeAutospacing="off" w:after="0" w:afterAutospacing="off" w:line="480" w:lineRule="auto"/>
        <w:ind w:left="-20" w:right="-20" w:firstLine="720"/>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sixth step of the Risk Management Framework (RMF) is called "Monitor." During this stage, the focus is on continuously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observing</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security controls to ensure their proper functioning and to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identify</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respond to any changes in the system and its environment. The government publication related to this is NIST Special Publication 800-53A (SP 800-53A). It is titled "Assessing Security and Privacy Controls in Federal Information Systems and Organizations: Building Effective Assessment Plans." This document provides recommendations for evaluating the security and privacy controls outlined in NIST SP 800-53, which is a crucial document that defines the security controls used in government information systems.</w:t>
      </w:r>
    </w:p>
    <w:p w:rsidR="65C21552" w:rsidP="65C21552" w:rsidRDefault="65C21552" w14:paraId="0F5D5786" w14:textId="45DFAB8D">
      <w:pPr>
        <w:spacing w:line="480" w:lineRule="auto"/>
        <w:jc w:val="left"/>
        <w:rPr>
          <w:rFonts w:ascii="Arial" w:hAnsi="Arial" w:eastAsia="Arial" w:cs="Arial"/>
          <w:sz w:val="24"/>
          <w:szCs w:val="24"/>
        </w:rPr>
      </w:pPr>
    </w:p>
    <w:p w:rsidR="60D57BD2" w:rsidP="65C21552" w:rsidRDefault="60D57BD2" w14:paraId="1C00F1FD" w14:textId="5A022964">
      <w:pPr>
        <w:spacing w:before="0" w:beforeAutospacing="off" w:after="0" w:afterAutospacing="off" w:line="480" w:lineRule="auto"/>
        <w:ind w:left="-20" w:right="-20" w:firstLine="720"/>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Step 6 of the Risk Management Framework (RMF), known as "Monitor," is crucial for </w:t>
      </w:r>
      <w:r w:rsidRPr="65C21552" w:rsidR="5460E4D2">
        <w:rPr>
          <w:rFonts w:ascii="Arial" w:hAnsi="Arial" w:eastAsia="Arial" w:cs="Arial"/>
          <w:b w:val="0"/>
          <w:bCs w:val="0"/>
          <w:i w:val="0"/>
          <w:iCs w:val="0"/>
          <w:strike w:val="0"/>
          <w:dstrike w:val="0"/>
          <w:noProof w:val="0"/>
          <w:color w:val="000000" w:themeColor="text1" w:themeTint="FF" w:themeShade="FF"/>
          <w:sz w:val="24"/>
          <w:szCs w:val="24"/>
          <w:u w:val="none"/>
          <w:lang w:val="en-US"/>
        </w:rPr>
        <w:t>several reasons</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Ongoing Assessment: The Monitor phase ensures that security controls in the system are consistently evaluated. Quick Response to Threats: By monitoring security controls continuously, organizations can quickly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identify</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security incidents or breaches. Adaptive Security: Monitoring helps organizations adjust their security measures in response to changing threats, vulnerabilities, and operational conditions.</w:t>
      </w:r>
      <w:r w:rsidRPr="65C21552" w:rsidR="7DA70C18">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Risk Management Improvement: Monitoring allows organizations to enhance their risk management strategies by analyzing security control performance data and finding areas for enhancement. Assurance of Security: Regular monitoring assures stakeholders, such as senior management, regulators, customers, and partners, that the organization's security measures are actively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maintained</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monitored.</w:t>
      </w:r>
      <w:r w:rsidRPr="65C21552" w:rsidR="0CAD6CB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he Monitor step of the Risk Management Framework is vital for </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maintaining</w:t>
      </w:r>
      <w:r w:rsidRPr="65C21552"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security control effectiveness, responding promptly to threats, supporting compliance efforts, improving risk management practices, and assuring stakeholders. By incorporating continuous monitoring into their cybersecurity processes, organizations can strengthen their resilience against evolving threats and safeguard their critical assets efficiently.</w:t>
      </w:r>
    </w:p>
    <w:p w:rsidR="65C21552" w:rsidP="65C21552" w:rsidRDefault="65C21552" w14:paraId="63CEB4F1" w14:textId="051B4B8A">
      <w:pPr>
        <w:spacing w:line="480" w:lineRule="auto"/>
        <w:jc w:val="left"/>
        <w:rPr>
          <w:rFonts w:ascii="Arial" w:hAnsi="Arial" w:eastAsia="Arial" w:cs="Arial"/>
          <w:sz w:val="24"/>
          <w:szCs w:val="24"/>
        </w:rPr>
      </w:pPr>
    </w:p>
    <w:p w:rsidR="60D57BD2" w:rsidP="676BD17F" w:rsidRDefault="60D57BD2" w14:paraId="5C570D77" w14:textId="4D9019E9">
      <w:pPr>
        <w:spacing w:before="0" w:beforeAutospacing="off" w:after="0" w:afterAutospacing="off" w:line="480" w:lineRule="auto"/>
        <w:ind w:left="-20" w:right="-20" w:firstLine="720"/>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If the Monitor step is not included in the risk management lifecycle, there can be several significant consequences:</w:t>
      </w:r>
      <w:r w:rsidRPr="7AE2056F" w:rsidR="4EDFC54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Compliance Failures: Continuous monitoring is often required by regulatory standards and compliance frameworks. Failure to include this step can result in non-compliance and expose the organization to penalties, fines, legal liabilities, and reputational damage. Ineffective Risk Management: Without real-time visibility into the performance of security controls, organizations may struggle to assess and manage risks effectively. Erosion of Trust and Confidence: Stakeholders, such as customers, partners, investors, and regulators, expect organizations to </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demonstrate</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commitment to cybersecurity through proactive monitoring and risk management practices. Missed Opportunities for Improvement: Continuous monitoring </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provides</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valuable insights into the effectiveness of security controls, emerging risks, and trends in the threat landscape. </w:t>
      </w:r>
      <w:r w:rsidRPr="7AE2056F" w:rsidR="44EBBB87">
        <w:rPr>
          <w:rFonts w:ascii="Arial" w:hAnsi="Arial" w:eastAsia="Arial" w:cs="Arial"/>
          <w:b w:val="0"/>
          <w:bCs w:val="0"/>
          <w:i w:val="0"/>
          <w:iCs w:val="0"/>
          <w:strike w:val="0"/>
          <w:dstrike w:val="0"/>
          <w:noProof w:val="0"/>
          <w:color w:val="000000" w:themeColor="text1" w:themeTint="FF" w:themeShade="FF"/>
          <w:sz w:val="24"/>
          <w:szCs w:val="24"/>
          <w:u w:val="none"/>
          <w:lang w:val="en-US"/>
        </w:rPr>
        <w:t>E</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xcluding the Monitor step from the risk management lifecycle can lead to increased vulnerability exposure, delayed incident detection, compliance failures, ineffective risk management, reduced incident response effectiveness, erosion of trust, and missed opportunities for improvement.</w:t>
      </w:r>
      <w:r w:rsidRPr="7AE2056F" w:rsidR="3B9DBC12">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w:t>
      </w:r>
      <w:r w:rsidRPr="7AE2056F" w:rsidR="60D57BD2">
        <w:rPr>
          <w:rFonts w:ascii="Arial" w:hAnsi="Arial" w:eastAsia="Arial" w:cs="Arial"/>
          <w:b w:val="0"/>
          <w:bCs w:val="0"/>
          <w:i w:val="0"/>
          <w:iCs w:val="0"/>
          <w:strike w:val="0"/>
          <w:dstrike w:val="0"/>
          <w:noProof w:val="0"/>
          <w:color w:val="000000" w:themeColor="text1" w:themeTint="FF" w:themeShade="FF"/>
          <w:sz w:val="24"/>
          <w:szCs w:val="24"/>
          <w:u w:val="none"/>
          <w:lang w:val="en-US"/>
        </w:rPr>
        <w:t>t is essential for organizations to integrate continuous monitoring into their risk management framework to effectively manage cybersecurity risks and protect critical assets.</w:t>
      </w:r>
    </w:p>
    <w:p w:rsidR="7AE2056F" w:rsidP="7AE2056F" w:rsidRDefault="7AE2056F" w14:paraId="62BFE4D0" w14:textId="60421B0D">
      <w:pPr>
        <w:pStyle w:val="Normal"/>
        <w:spacing w:before="0" w:beforeAutospacing="off" w:after="0" w:afterAutospacing="off" w:line="480" w:lineRule="auto"/>
        <w:ind w:left="-20" w:right="-20" w:firstLine="720"/>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7AE2056F" w:rsidP="7AE2056F" w:rsidRDefault="7AE2056F" w14:paraId="705582D4" w14:textId="08D45214">
      <w:pPr>
        <w:pStyle w:val="Normal"/>
        <w:spacing w:before="0" w:beforeAutospacing="off" w:after="0" w:afterAutospacing="off" w:line="480" w:lineRule="auto"/>
        <w:ind w:left="-20" w:right="-20" w:firstLine="720"/>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532152A3" w:rsidP="676BD17F" w:rsidRDefault="532152A3" w14:paraId="5E396867" w14:textId="06E73259">
      <w:pPr>
        <w:pStyle w:val="Normal"/>
        <w:spacing w:before="0" w:beforeAutospacing="off" w:after="0" w:afterAutospacing="off" w:line="480" w:lineRule="auto"/>
        <w:ind w:left="-20" w:right="-20" w:firstLine="720"/>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76BD17F" w:rsidR="532152A3">
        <w:rPr>
          <w:rFonts w:ascii="Arial" w:hAnsi="Arial" w:eastAsia="Arial" w:cs="Arial"/>
          <w:b w:val="0"/>
          <w:bCs w:val="0"/>
          <w:i w:val="0"/>
          <w:iCs w:val="0"/>
          <w:strike w:val="0"/>
          <w:dstrike w:val="0"/>
          <w:noProof w:val="0"/>
          <w:color w:val="000000" w:themeColor="text1" w:themeTint="FF" w:themeShade="FF"/>
          <w:sz w:val="24"/>
          <w:szCs w:val="24"/>
          <w:u w:val="none"/>
          <w:lang w:val="en-US"/>
        </w:rPr>
        <w:t>References</w:t>
      </w:r>
    </w:p>
    <w:p w:rsidR="141F89E2" w:rsidP="676BD17F" w:rsidRDefault="141F89E2" w14:paraId="407C8141" w14:textId="0B233C23">
      <w:pPr>
        <w:spacing w:before="0" w:beforeAutospacing="off" w:after="0" w:afterAutospacing="off" w:line="480" w:lineRule="auto"/>
        <w:ind w:left="720" w:right="-20" w:hanging="720"/>
        <w:jc w:val="left"/>
        <w:rPr/>
      </w:pPr>
      <w:r w:rsidRPr="676BD17F" w:rsidR="141F89E2">
        <w:rPr>
          <w:rFonts w:ascii="Times New Roman" w:hAnsi="Times New Roman" w:eastAsia="Times New Roman" w:cs="Times New Roman"/>
          <w:noProof w:val="0"/>
          <w:sz w:val="24"/>
          <w:szCs w:val="24"/>
          <w:lang w:val="en-US"/>
        </w:rPr>
        <w:t xml:space="preserve">Decker, J. (2024, March 21). </w:t>
      </w:r>
      <w:r w:rsidRPr="676BD17F" w:rsidR="141F89E2">
        <w:rPr>
          <w:rFonts w:ascii="Times New Roman" w:hAnsi="Times New Roman" w:eastAsia="Times New Roman" w:cs="Times New Roman"/>
          <w:i w:val="1"/>
          <w:iCs w:val="1"/>
          <w:noProof w:val="0"/>
          <w:sz w:val="24"/>
          <w:szCs w:val="24"/>
          <w:lang w:val="en-US"/>
        </w:rPr>
        <w:t>The 7 Risk Management Framework (RMF) process steps</w:t>
      </w:r>
      <w:r w:rsidRPr="676BD17F" w:rsidR="141F89E2">
        <w:rPr>
          <w:rFonts w:ascii="Times New Roman" w:hAnsi="Times New Roman" w:eastAsia="Times New Roman" w:cs="Times New Roman"/>
          <w:noProof w:val="0"/>
          <w:sz w:val="24"/>
          <w:szCs w:val="24"/>
          <w:lang w:val="en-US"/>
        </w:rPr>
        <w:t xml:space="preserve">. IPKeys. </w:t>
      </w:r>
      <w:hyperlink r:id="R722f4f00630f49f6">
        <w:r w:rsidRPr="676BD17F" w:rsidR="141F89E2">
          <w:rPr>
            <w:rStyle w:val="Hyperlink"/>
            <w:rFonts w:ascii="Times New Roman" w:hAnsi="Times New Roman" w:eastAsia="Times New Roman" w:cs="Times New Roman"/>
            <w:noProof w:val="0"/>
            <w:sz w:val="24"/>
            <w:szCs w:val="24"/>
            <w:lang w:val="en-US"/>
          </w:rPr>
          <w:t>https://ipkeys.com/blog/rmf-steps/</w:t>
        </w:r>
      </w:hyperlink>
    </w:p>
    <w:p w:rsidR="141F89E2" w:rsidP="676BD17F" w:rsidRDefault="141F89E2" w14:paraId="2759F9A2" w14:textId="3B1AEC62">
      <w:pPr>
        <w:spacing w:before="0" w:beforeAutospacing="off" w:after="0" w:afterAutospacing="off" w:line="480" w:lineRule="auto"/>
        <w:ind w:left="720" w:right="-20" w:hanging="720"/>
        <w:jc w:val="left"/>
        <w:rPr>
          <w:rStyle w:val="Hyperlink"/>
          <w:rFonts w:ascii="Times New Roman" w:hAnsi="Times New Roman" w:eastAsia="Times New Roman" w:cs="Times New Roman"/>
          <w:noProof w:val="0"/>
          <w:sz w:val="24"/>
          <w:szCs w:val="24"/>
          <w:lang w:val="en-US"/>
        </w:rPr>
      </w:pPr>
      <w:r w:rsidRPr="676BD17F" w:rsidR="141F89E2">
        <w:rPr>
          <w:rFonts w:ascii="Times New Roman" w:hAnsi="Times New Roman" w:eastAsia="Times New Roman" w:cs="Times New Roman"/>
          <w:i w:val="0"/>
          <w:iCs w:val="0"/>
          <w:noProof w:val="0"/>
          <w:sz w:val="24"/>
          <w:szCs w:val="24"/>
          <w:lang w:val="en-US"/>
        </w:rPr>
        <w:t>How to apply the Risk Management Framework (RMF)</w:t>
      </w:r>
      <w:r w:rsidRPr="676BD17F" w:rsidR="141F89E2">
        <w:rPr>
          <w:rFonts w:ascii="Times New Roman" w:hAnsi="Times New Roman" w:eastAsia="Times New Roman" w:cs="Times New Roman"/>
          <w:i w:val="0"/>
          <w:iCs w:val="0"/>
          <w:noProof w:val="0"/>
          <w:sz w:val="24"/>
          <w:szCs w:val="24"/>
          <w:lang w:val="en-US"/>
        </w:rPr>
        <w:t>. (n.d.). Tripwire.</w:t>
      </w:r>
      <w:r w:rsidRPr="676BD17F" w:rsidR="141F89E2">
        <w:rPr>
          <w:rFonts w:ascii="Times New Roman" w:hAnsi="Times New Roman" w:eastAsia="Times New Roman" w:cs="Times New Roman"/>
          <w:noProof w:val="0"/>
          <w:sz w:val="24"/>
          <w:szCs w:val="24"/>
          <w:lang w:val="en-US"/>
        </w:rPr>
        <w:t xml:space="preserve"> </w:t>
      </w:r>
      <w:hyperlink r:id="Rbf6c56ce68014ea2">
        <w:r w:rsidRPr="676BD17F" w:rsidR="141F89E2">
          <w:rPr>
            <w:rStyle w:val="Hyperlink"/>
            <w:rFonts w:ascii="Times New Roman" w:hAnsi="Times New Roman" w:eastAsia="Times New Roman" w:cs="Times New Roman"/>
            <w:noProof w:val="0"/>
            <w:sz w:val="24"/>
            <w:szCs w:val="24"/>
            <w:lang w:val="en-US"/>
          </w:rPr>
          <w:t>https://www.tripwire.com/state-of-security/applying-risk-management-framework</w:t>
        </w:r>
      </w:hyperlink>
    </w:p>
    <w:p w:rsidR="676BD17F" w:rsidP="676BD17F" w:rsidRDefault="676BD17F" w14:paraId="044ADE8F" w14:textId="43CB90B7">
      <w:pPr>
        <w:pStyle w:val="Normal"/>
        <w:spacing w:before="0" w:beforeAutospacing="off" w:after="0" w:afterAutospacing="off" w:line="480" w:lineRule="auto"/>
        <w:ind w:left="-20" w:right="-2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8RFRqAgchgKK1H" int2:id="ftlghIji">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1654C"/>
    <w:rsid w:val="0109B0ED"/>
    <w:rsid w:val="040DA27D"/>
    <w:rsid w:val="086CB564"/>
    <w:rsid w:val="0CAD6CBA"/>
    <w:rsid w:val="141F89E2"/>
    <w:rsid w:val="18DD769E"/>
    <w:rsid w:val="2304560A"/>
    <w:rsid w:val="3B9DBC12"/>
    <w:rsid w:val="44EBBB87"/>
    <w:rsid w:val="49757BEE"/>
    <w:rsid w:val="4EDFC542"/>
    <w:rsid w:val="51808DD3"/>
    <w:rsid w:val="532152A3"/>
    <w:rsid w:val="5460E4D2"/>
    <w:rsid w:val="58E3924A"/>
    <w:rsid w:val="5D07B7CB"/>
    <w:rsid w:val="60D57BD2"/>
    <w:rsid w:val="628A7490"/>
    <w:rsid w:val="65C21552"/>
    <w:rsid w:val="676BD17F"/>
    <w:rsid w:val="6DF1654C"/>
    <w:rsid w:val="74ADB243"/>
    <w:rsid w:val="76B2D3B2"/>
    <w:rsid w:val="7AE2056F"/>
    <w:rsid w:val="7D221536"/>
    <w:rsid w:val="7DA70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654C"/>
  <w15:chartTrackingRefBased/>
  <w15:docId w15:val="{6BEE8EA2-D202-4DCE-A289-E7B3F0F650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9bedbbb91fa4987" /><Relationship Type="http://schemas.openxmlformats.org/officeDocument/2006/relationships/hyperlink" Target="https://ipkeys.com/blog/rmf-steps/" TargetMode="External" Id="R722f4f00630f49f6" /><Relationship Type="http://schemas.openxmlformats.org/officeDocument/2006/relationships/hyperlink" Target="https://www.tripwire.com/state-of-security/applying-risk-management-framework" TargetMode="External" Id="Rbf6c56ce68014e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2024-03-24T23:30:52.5877378Z</dcterms:created>
  <dcterms:modified xsi:type="dcterms:W3CDTF">2025-11-03T02:51:06.5916140Z</dcterms:modified>
  <dc:creator>Arturo Astorga</dc:creator>
  <lastModifiedBy>Arturo Astorga</lastModifiedBy>
</coreProperties>
</file>