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EFAE108" wp14:paraId="444CA0C8" wp14:textId="32610847">
      <w:pPr>
        <w:ind w:firstLine="720"/>
      </w:pPr>
    </w:p>
    <w:p xmlns:wp14="http://schemas.microsoft.com/office/word/2010/wordml" w:rsidP="7EFAE108" wp14:paraId="07A1E8FB" wp14:textId="3039273C">
      <w:pPr>
        <w:pStyle w:val="Normal"/>
        <w:ind w:firstLine="720"/>
      </w:pPr>
    </w:p>
    <w:p xmlns:wp14="http://schemas.microsoft.com/office/word/2010/wordml" w:rsidP="7EFAE108" wp14:paraId="586FF087" wp14:textId="4DC2C9D3">
      <w:pPr>
        <w:spacing w:line="480" w:lineRule="auto"/>
        <w:ind w:firstLine="0"/>
        <w:jc w:val="center"/>
      </w:pPr>
      <w:r w:rsidR="30558B37">
        <w:rPr/>
        <w:t>Information Security Audit Program</w:t>
      </w:r>
    </w:p>
    <w:p xmlns:wp14="http://schemas.microsoft.com/office/word/2010/wordml" w:rsidP="7EFAE108" wp14:paraId="458F2469" wp14:textId="65F0BE46">
      <w:pPr>
        <w:spacing w:line="480" w:lineRule="auto"/>
        <w:ind w:firstLine="720"/>
      </w:pPr>
    </w:p>
    <w:p xmlns:wp14="http://schemas.microsoft.com/office/word/2010/wordml" w:rsidP="7EFAE108" wp14:paraId="51608E13" wp14:textId="075512F4">
      <w:pPr>
        <w:spacing w:line="480" w:lineRule="auto"/>
        <w:ind w:firstLine="720"/>
      </w:pPr>
    </w:p>
    <w:p xmlns:wp14="http://schemas.microsoft.com/office/word/2010/wordml" w:rsidP="7EFAE108" wp14:paraId="55108186" wp14:textId="413DF543">
      <w:pPr>
        <w:spacing w:line="480" w:lineRule="auto"/>
        <w:ind w:firstLine="720"/>
      </w:pPr>
    </w:p>
    <w:p xmlns:wp14="http://schemas.microsoft.com/office/word/2010/wordml" w:rsidP="7EFAE108" wp14:paraId="4E309C52" wp14:textId="70E80301">
      <w:pPr>
        <w:spacing w:line="480" w:lineRule="auto"/>
        <w:ind w:firstLine="720"/>
      </w:pPr>
    </w:p>
    <w:p xmlns:wp14="http://schemas.microsoft.com/office/word/2010/wordml" w:rsidP="7EFAE108" wp14:paraId="0349FB67" wp14:textId="704E1E98">
      <w:pPr>
        <w:spacing w:line="480" w:lineRule="auto"/>
        <w:ind w:firstLine="720"/>
      </w:pPr>
    </w:p>
    <w:p xmlns:wp14="http://schemas.microsoft.com/office/word/2010/wordml" w:rsidP="7EFAE108" wp14:paraId="528CC380" wp14:textId="273B747B">
      <w:pPr>
        <w:spacing w:line="480" w:lineRule="auto"/>
        <w:ind w:firstLine="720"/>
      </w:pPr>
    </w:p>
    <w:p xmlns:wp14="http://schemas.microsoft.com/office/word/2010/wordml" w:rsidP="7EFAE108" wp14:paraId="564FF3A7" wp14:textId="3AFA3713">
      <w:pPr>
        <w:spacing w:line="480" w:lineRule="auto"/>
        <w:ind w:firstLine="720"/>
      </w:pPr>
    </w:p>
    <w:p xmlns:wp14="http://schemas.microsoft.com/office/word/2010/wordml" w:rsidP="7EFAE108" wp14:paraId="14CFE890" wp14:textId="0CB65CB8">
      <w:pPr>
        <w:spacing w:line="480" w:lineRule="auto"/>
        <w:ind w:firstLine="0"/>
        <w:jc w:val="center"/>
      </w:pPr>
      <w:r w:rsidR="30558B37">
        <w:rPr/>
        <w:t>Arturo Astorga</w:t>
      </w:r>
    </w:p>
    <w:p xmlns:wp14="http://schemas.microsoft.com/office/word/2010/wordml" w:rsidP="7EFAE108" wp14:paraId="1D36CF74" wp14:textId="12AC58C0">
      <w:pPr>
        <w:spacing w:line="480" w:lineRule="auto"/>
        <w:ind w:firstLine="0"/>
        <w:jc w:val="center"/>
      </w:pPr>
      <w:r w:rsidR="30558B37">
        <w:rPr/>
        <w:t>CYBR615-T301 Cybersecurity Governance</w:t>
      </w:r>
    </w:p>
    <w:p xmlns:wp14="http://schemas.microsoft.com/office/word/2010/wordml" w:rsidP="7EFAE108" wp14:paraId="18E582EC" wp14:textId="4DDB66F8">
      <w:pPr>
        <w:spacing w:line="480" w:lineRule="auto"/>
        <w:ind w:firstLine="0"/>
        <w:jc w:val="center"/>
      </w:pPr>
      <w:r w:rsidR="30558B37">
        <w:rPr/>
        <w:t>February</w:t>
      </w:r>
      <w:r w:rsidR="30558B37">
        <w:rPr/>
        <w:t xml:space="preserve"> 22, 2025</w:t>
      </w:r>
    </w:p>
    <w:p xmlns:wp14="http://schemas.microsoft.com/office/word/2010/wordml" w:rsidP="7EFAE108" wp14:paraId="0EF4A970" wp14:textId="2B2BBD88">
      <w:pPr>
        <w:spacing w:line="480" w:lineRule="auto"/>
        <w:ind w:firstLine="720"/>
      </w:pPr>
    </w:p>
    <w:p xmlns:wp14="http://schemas.microsoft.com/office/word/2010/wordml" w:rsidP="7EFAE108" wp14:paraId="5F2F6514" wp14:textId="552DD16C">
      <w:pPr>
        <w:spacing w:line="480" w:lineRule="auto"/>
        <w:ind w:firstLine="720"/>
      </w:pPr>
    </w:p>
    <w:p xmlns:wp14="http://schemas.microsoft.com/office/word/2010/wordml" w:rsidP="7EFAE108" wp14:paraId="228B326A" wp14:textId="70926B30">
      <w:pPr>
        <w:spacing w:line="480" w:lineRule="auto"/>
        <w:ind w:firstLine="720"/>
      </w:pPr>
    </w:p>
    <w:p xmlns:wp14="http://schemas.microsoft.com/office/word/2010/wordml" w:rsidP="7EFAE108" wp14:paraId="2AD7884D" wp14:textId="2B350756">
      <w:pPr>
        <w:spacing w:line="480" w:lineRule="auto"/>
        <w:ind w:firstLine="720"/>
      </w:pPr>
    </w:p>
    <w:p xmlns:wp14="http://schemas.microsoft.com/office/word/2010/wordml" w:rsidP="7EFAE108" wp14:paraId="6CF8BBD4" wp14:textId="7FBE7C9F">
      <w:pPr>
        <w:pStyle w:val="Normal"/>
        <w:spacing w:line="480" w:lineRule="auto"/>
        <w:ind w:firstLine="720"/>
      </w:pPr>
    </w:p>
    <w:p xmlns:wp14="http://schemas.microsoft.com/office/word/2010/wordml" w:rsidP="7EFAE108" wp14:paraId="6E57F316" wp14:textId="2395FA65">
      <w:pPr>
        <w:pStyle w:val="Normal"/>
        <w:spacing w:line="480" w:lineRule="auto"/>
        <w:ind w:firstLine="720"/>
      </w:pPr>
      <w:r w:rsidR="12AE2098">
        <w:rPr/>
        <w:t xml:space="preserve">A cyberattack is when bad actors, like hackers or even countries, intentionally try to break into an organization's computer systems. </w:t>
      </w:r>
      <w:r w:rsidR="12AE2098">
        <w:rPr/>
        <w:t xml:space="preserve">Their goal is to steal, change, or destroy </w:t>
      </w:r>
      <w:r w:rsidR="12AE2098">
        <w:rPr/>
        <w:t>essential information</w:t>
      </w:r>
      <w:r w:rsidR="12AE2098">
        <w:rPr/>
        <w:t>, disrupt business activities, or cause financial damage.</w:t>
      </w:r>
      <w:r w:rsidR="12AE2098">
        <w:rPr/>
        <w:t xml:space="preserve"> Cyberattacks can happen in many ways, such as through hacking, phishing frauds, ransomware, or denial-of-service (DoS) attacks. These attacks usually target weaknesses in a company's network or software to gain unauthorized access or inflict harm.</w:t>
      </w:r>
    </w:p>
    <w:p xmlns:wp14="http://schemas.microsoft.com/office/word/2010/wordml" w:rsidP="7EFAE108" wp14:paraId="2C078E63" wp14:textId="022E10CB">
      <w:pPr>
        <w:spacing w:line="480" w:lineRule="auto"/>
        <w:ind w:firstLine="720"/>
      </w:pPr>
      <w:r w:rsidR="12AE2098">
        <w:rPr/>
        <w:t xml:space="preserve">A significant example of a cyberattack is the SolarWinds incident in 2020. SolarWinds is a U.S. company that creates software for managing IT systems, especially for monitoring networks. Their software is commonly used by government bodies, large companies, and other important organizations. The attack was linked to a nation-state group, later identified as Russian hackers from APT29. They managed to infiltrate SolarWinds' software development process and inserted harmful code into the Orion software updates. These updates were sent out to around </w:t>
      </w:r>
      <w:r w:rsidR="12AE2098">
        <w:rPr/>
        <w:t>18,000 customers (about the seating capacity of Madison Square Garden)</w:t>
      </w:r>
      <w:r w:rsidR="12AE2098">
        <w:rPr/>
        <w:t xml:space="preserve">, giving the attackers backdoor access to sensitive networks. This allowed them to steal information, spy on communications, and </w:t>
      </w:r>
      <w:r w:rsidR="12AE2098">
        <w:rPr/>
        <w:t>compromise</w:t>
      </w:r>
      <w:r w:rsidR="12AE2098">
        <w:rPr/>
        <w:t xml:space="preserve"> essential systems.</w:t>
      </w:r>
    </w:p>
    <w:p w:rsidR="12AE2098" w:rsidP="7EFAE108" w:rsidRDefault="12AE2098" w14:paraId="37636744" w14:textId="2FD1A119">
      <w:pPr>
        <w:spacing w:line="480" w:lineRule="auto"/>
        <w:ind w:firstLine="720"/>
      </w:pPr>
      <w:r w:rsidR="12AE2098">
        <w:rPr/>
        <w:t xml:space="preserve">To lessen the effects of such an attack, various information security audit controls could have been put in place. A Vulnerability Management Program would have consistently </w:t>
      </w:r>
      <w:r w:rsidR="12AE2098">
        <w:rPr/>
        <w:t>identified</w:t>
      </w:r>
      <w:r w:rsidR="12AE2098">
        <w:rPr/>
        <w:t xml:space="preserve">, evaluated, and fixed software weaknesses, </w:t>
      </w:r>
      <w:r w:rsidR="12AE2098">
        <w:rPr/>
        <w:t>catching</w:t>
      </w:r>
      <w:r w:rsidR="12AE2098">
        <w:rPr/>
        <w:t xml:space="preserve"> the harmful code before it spread. Supply Chain Risk Management would have made sure to thoroughly check and continuously </w:t>
      </w:r>
      <w:r w:rsidR="12AE2098">
        <w:rPr/>
        <w:t>monitor</w:t>
      </w:r>
      <w:r w:rsidR="12AE2098">
        <w:rPr/>
        <w:t xml:space="preserve"> third-party vendors and software providers, which would lower the chances of infiltration at the software code level. Additionally, a stronger Incident Detection and Response system could have </w:t>
      </w:r>
      <w:r w:rsidR="12AE2098">
        <w:rPr/>
        <w:t>identified</w:t>
      </w:r>
      <w:r w:rsidR="12AE2098">
        <w:rPr/>
        <w:t xml:space="preserve"> unusual activities or data breaches sooner, allowing for a faster reaction to minimize the damage.</w:t>
      </w:r>
    </w:p>
    <w:p w:rsidR="12AE2098" w:rsidP="7EFAE108" w:rsidRDefault="12AE2098" w14:paraId="21457E43" w14:textId="5D825A95">
      <w:pPr>
        <w:spacing w:line="480" w:lineRule="auto"/>
        <w:ind w:firstLine="720"/>
      </w:pPr>
      <w:r w:rsidR="12AE2098">
        <w:rPr/>
        <w:t xml:space="preserve">Another instance is the Colonial Pipeline ransomware attack in 2021. Colonial Pipeline, a key U.S. fuel pipeline operator, had to halt its operations after being targeted by a ransomware attack from the hacker group </w:t>
      </w:r>
      <w:r w:rsidR="12AE2098">
        <w:rPr/>
        <w:t>DarkSide</w:t>
      </w:r>
      <w:r w:rsidR="12AE2098">
        <w:rPr/>
        <w:t>. This attack encrypted essential systems, leading to disruptions in fuel delivery and significant shortages. Colonial Pipeline ended up paying around $4.4 million in Bitcoin as ransom, although the U.S. government later managed to recover some of that money. This incident underscored how vulnerable critical infrastructure is to cyber threats.</w:t>
      </w:r>
    </w:p>
    <w:p w:rsidR="12AE2098" w:rsidP="7EFAE108" w:rsidRDefault="12AE2098" w14:paraId="1BFA9B8F" w14:textId="424BEFD5">
      <w:pPr>
        <w:spacing w:line="480" w:lineRule="auto"/>
        <w:ind w:firstLine="720"/>
      </w:pPr>
      <w:r w:rsidR="12AE2098">
        <w:rPr/>
        <w:t xml:space="preserve">To avoid such an incident, several measures could have been helpful. Having regular backup procedures and testing in place would have allowed Colonial Pipeline to quickly get back to work without needing to pay </w:t>
      </w:r>
      <w:r w:rsidR="12AE2098">
        <w:rPr/>
        <w:t>a</w:t>
      </w:r>
      <w:r w:rsidR="12AE2098">
        <w:rPr/>
        <w:t xml:space="preserve"> ransom, especially if they had secure, offline backups ready. Using Endpoint Detection and Response (EDR) tools could have helped </w:t>
      </w:r>
      <w:r w:rsidR="12AE2098">
        <w:rPr/>
        <w:t>monitor</w:t>
      </w:r>
      <w:r w:rsidR="12AE2098">
        <w:rPr/>
        <w:t xml:space="preserve">, </w:t>
      </w:r>
      <w:r w:rsidR="12AE2098">
        <w:rPr/>
        <w:t>identify</w:t>
      </w:r>
      <w:r w:rsidR="12AE2098">
        <w:rPr/>
        <w:t>, and stop harmful activities on devices, like file encryption, which might have prevented the attack from spreading. Moreover, implementing Multi-Factor Authentication (MFA) for remote access and important systems would have provided an extra layer of security, making it harder for attackers to gain unauthorized access even if they had stolen credentials. Lastly, Network Segmentation could have kept critical systems separate from corporate IT networks, stopping the ransomware from spreading and reducing the impact on vital infrastructure.</w:t>
      </w:r>
    </w:p>
    <w:p w:rsidR="12AE2098" w:rsidP="7EFAE108" w:rsidRDefault="12AE2098" w14:paraId="3CAD9FE3" w14:textId="19A27B47">
      <w:pPr>
        <w:spacing w:line="480" w:lineRule="auto"/>
        <w:ind w:firstLine="720"/>
      </w:pPr>
      <w:r w:rsidR="12AE2098">
        <w:rPr/>
        <w:t xml:space="preserve">Both the SolarWinds and Colonial Pipeline incidents highlight the serious effects of cyberattacks on supply chains and critical infrastructure. However, putting in place essential information security audit controls, like strong vulnerability management, regular backups, endpoint detection, and network segmentation, could have </w:t>
      </w:r>
      <w:r w:rsidR="306E0737">
        <w:rPr/>
        <w:t>reduced</w:t>
      </w:r>
      <w:r w:rsidR="12AE2098">
        <w:rPr/>
        <w:t xml:space="preserve"> the damage. These actions would not only have helped prevent the attacks but also allowed for a more effective response to lessen their effects.</w:t>
      </w:r>
    </w:p>
    <w:p w:rsidR="6E50C8DF" w:rsidP="7EFAE108" w:rsidRDefault="6E50C8DF" w14:paraId="609AEACB" w14:textId="3656E1D4">
      <w:pPr>
        <w:spacing w:line="480" w:lineRule="auto"/>
        <w:jc w:val="center"/>
      </w:pPr>
    </w:p>
    <w:p w:rsidR="6E50C8DF" w:rsidP="7EFAE108" w:rsidRDefault="6E50C8DF" w14:paraId="0EED21B3" w14:textId="32FD1D2C">
      <w:pPr>
        <w:spacing w:line="480" w:lineRule="auto"/>
        <w:jc w:val="center"/>
      </w:pPr>
    </w:p>
    <w:p w:rsidR="6E50C8DF" w:rsidP="7EFAE108" w:rsidRDefault="6E50C8DF" w14:paraId="1D61171B" w14:textId="580FA7EC">
      <w:pPr>
        <w:spacing w:line="480" w:lineRule="auto"/>
        <w:jc w:val="center"/>
      </w:pPr>
    </w:p>
    <w:p w:rsidR="6E50C8DF" w:rsidP="7EFAE108" w:rsidRDefault="6E50C8DF" w14:paraId="2FFB3D0B" w14:textId="6DDC5660">
      <w:pPr>
        <w:spacing w:line="480" w:lineRule="auto"/>
        <w:jc w:val="center"/>
      </w:pPr>
    </w:p>
    <w:p w:rsidR="6E50C8DF" w:rsidP="7EFAE108" w:rsidRDefault="6E50C8DF" w14:paraId="0F9E0B51" w14:textId="6C2DBB46">
      <w:pPr>
        <w:spacing w:line="480" w:lineRule="auto"/>
        <w:jc w:val="center"/>
      </w:pPr>
    </w:p>
    <w:p w:rsidR="6E50C8DF" w:rsidP="7EFAE108" w:rsidRDefault="6E50C8DF" w14:paraId="361FF78A" w14:textId="782D5CFD">
      <w:pPr>
        <w:spacing w:line="480" w:lineRule="auto"/>
        <w:jc w:val="center"/>
      </w:pPr>
    </w:p>
    <w:p w:rsidR="6E50C8DF" w:rsidP="7EFAE108" w:rsidRDefault="6E50C8DF" w14:paraId="7E37A8D8" w14:textId="26BF9BA2">
      <w:pPr>
        <w:spacing w:line="480" w:lineRule="auto"/>
        <w:jc w:val="center"/>
      </w:pPr>
    </w:p>
    <w:p w:rsidR="6E50C8DF" w:rsidP="7EFAE108" w:rsidRDefault="6E50C8DF" w14:paraId="31006A77" w14:textId="5DD7AB6A">
      <w:pPr>
        <w:spacing w:line="480" w:lineRule="auto"/>
        <w:jc w:val="center"/>
      </w:pPr>
    </w:p>
    <w:p w:rsidR="6E50C8DF" w:rsidP="7EFAE108" w:rsidRDefault="6E50C8DF" w14:paraId="24080C86" w14:textId="5C951F49">
      <w:pPr>
        <w:pStyle w:val="Normal"/>
        <w:spacing w:line="480" w:lineRule="auto"/>
        <w:jc w:val="center"/>
      </w:pPr>
    </w:p>
    <w:p w:rsidR="6E50C8DF" w:rsidP="7EFAE108" w:rsidRDefault="6E50C8DF" w14:paraId="10B2A151" w14:textId="7597E096">
      <w:pPr>
        <w:pStyle w:val="Normal"/>
        <w:spacing w:line="480" w:lineRule="auto"/>
        <w:jc w:val="center"/>
      </w:pPr>
    </w:p>
    <w:p w:rsidR="6E50C8DF" w:rsidP="7EFAE108" w:rsidRDefault="6E50C8DF" w14:paraId="24558449" w14:textId="3CAA7857">
      <w:pPr>
        <w:pStyle w:val="Normal"/>
        <w:spacing w:line="480" w:lineRule="auto"/>
        <w:jc w:val="center"/>
      </w:pPr>
    </w:p>
    <w:p w:rsidR="6E50C8DF" w:rsidP="7EFAE108" w:rsidRDefault="6E50C8DF" w14:paraId="16045F39" w14:textId="06CBB47D">
      <w:pPr>
        <w:pStyle w:val="Normal"/>
        <w:spacing w:line="480" w:lineRule="auto"/>
        <w:jc w:val="center"/>
      </w:pPr>
    </w:p>
    <w:p w:rsidR="6E50C8DF" w:rsidP="7EFAE108" w:rsidRDefault="6E50C8DF" w14:paraId="42CF71D5" w14:textId="357A4906">
      <w:pPr>
        <w:pStyle w:val="Normal"/>
        <w:spacing w:line="480" w:lineRule="auto"/>
        <w:jc w:val="center"/>
      </w:pPr>
    </w:p>
    <w:p w:rsidR="6E50C8DF" w:rsidP="7EFAE108" w:rsidRDefault="6E50C8DF" w14:paraId="466F2812" w14:textId="313E4946">
      <w:pPr>
        <w:pStyle w:val="Normal"/>
        <w:spacing w:line="480" w:lineRule="auto"/>
        <w:jc w:val="center"/>
      </w:pPr>
    </w:p>
    <w:p w:rsidR="6E50C8DF" w:rsidP="7EFAE108" w:rsidRDefault="6E50C8DF" w14:paraId="12F343A2" w14:textId="4841D15D">
      <w:pPr>
        <w:pStyle w:val="Normal"/>
        <w:spacing w:line="480" w:lineRule="auto"/>
        <w:jc w:val="center"/>
      </w:pPr>
    </w:p>
    <w:p w:rsidR="6E50C8DF" w:rsidP="7EFAE108" w:rsidRDefault="6E50C8DF" w14:paraId="69ED9B3D" w14:textId="34E6DDFA">
      <w:pPr>
        <w:pStyle w:val="Normal"/>
        <w:spacing w:line="480" w:lineRule="auto"/>
        <w:jc w:val="center"/>
      </w:pPr>
    </w:p>
    <w:p w:rsidR="6E50C8DF" w:rsidP="7EFAE108" w:rsidRDefault="6E50C8DF" w14:paraId="3C227359" w14:textId="60C95DE6">
      <w:pPr>
        <w:pStyle w:val="Normal"/>
        <w:spacing w:line="480" w:lineRule="auto"/>
        <w:jc w:val="center"/>
      </w:pPr>
      <w:r w:rsidR="6E50C8DF">
        <w:rPr/>
        <w:t>References</w:t>
      </w:r>
    </w:p>
    <w:p w:rsidR="6E50C8DF" w:rsidP="7EFAE108" w:rsidRDefault="6E50C8DF" w14:paraId="72F1D247" w14:textId="6276F51B">
      <w:pPr>
        <w:spacing w:before="0" w:beforeAutospacing="off" w:after="0" w:afterAutospacing="off" w:line="480" w:lineRule="auto"/>
        <w:ind w:left="720" w:right="0" w:hanging="720"/>
        <w:rPr>
          <w:rStyle w:val="Hyperlink"/>
          <w:rFonts w:ascii="Calibri" w:hAnsi="Calibri" w:eastAsia="Calibri" w:cs="Calibri"/>
          <w:b w:val="0"/>
          <w:bCs w:val="0"/>
          <w:i w:val="0"/>
          <w:iCs w:val="0"/>
          <w:caps w:val="0"/>
          <w:smallCaps w:val="0"/>
          <w:noProof w:val="0"/>
          <w:sz w:val="27"/>
          <w:szCs w:val="27"/>
          <w:lang w:val="en-US"/>
        </w:rPr>
      </w:pPr>
      <w:r w:rsidRPr="7EFAE108" w:rsidR="6E50C8DF">
        <w:rPr>
          <w:rFonts w:ascii="Calibri" w:hAnsi="Calibri" w:eastAsia="Calibri" w:cs="Calibri"/>
          <w:b w:val="0"/>
          <w:bCs w:val="0"/>
          <w:i w:val="0"/>
          <w:iCs w:val="0"/>
          <w:caps w:val="0"/>
          <w:smallCaps w:val="0"/>
          <w:noProof w:val="0"/>
          <w:color w:val="000000" w:themeColor="text1" w:themeTint="FF" w:themeShade="FF"/>
          <w:sz w:val="27"/>
          <w:szCs w:val="27"/>
          <w:lang w:val="en-US"/>
        </w:rPr>
        <w:t xml:space="preserve">Oladimeji, S., &amp; Kerner, S. M. (2023, November 3). </w:t>
      </w:r>
      <w:r w:rsidRPr="7EFAE108" w:rsidR="6E50C8DF">
        <w:rPr>
          <w:rFonts w:ascii="Calibri" w:hAnsi="Calibri" w:eastAsia="Calibri" w:cs="Calibri"/>
          <w:b w:val="0"/>
          <w:bCs w:val="0"/>
          <w:i w:val="1"/>
          <w:iCs w:val="1"/>
          <w:caps w:val="0"/>
          <w:smallCaps w:val="0"/>
          <w:noProof w:val="0"/>
          <w:color w:val="000000" w:themeColor="text1" w:themeTint="FF" w:themeShade="FF"/>
          <w:sz w:val="27"/>
          <w:szCs w:val="27"/>
          <w:lang w:val="en-US"/>
        </w:rPr>
        <w:t>SolarWinds hack explained: Everything you need to know</w:t>
      </w:r>
      <w:r w:rsidRPr="7EFAE108" w:rsidR="6E50C8DF">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w:t>
      </w:r>
      <w:r w:rsidRPr="7EFAE108" w:rsidR="6E50C8DF">
        <w:rPr>
          <w:rFonts w:ascii="Calibri" w:hAnsi="Calibri" w:eastAsia="Calibri" w:cs="Calibri"/>
          <w:b w:val="0"/>
          <w:bCs w:val="0"/>
          <w:i w:val="0"/>
          <w:iCs w:val="0"/>
          <w:caps w:val="0"/>
          <w:smallCaps w:val="0"/>
          <w:noProof w:val="0"/>
          <w:color w:val="000000" w:themeColor="text1" w:themeTint="FF" w:themeShade="FF"/>
          <w:sz w:val="27"/>
          <w:szCs w:val="27"/>
          <w:lang w:val="en-US"/>
        </w:rPr>
        <w:t>Techtarget</w:t>
      </w:r>
      <w:r w:rsidRPr="7EFAE108" w:rsidR="6E50C8DF">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TechTarget. </w:t>
      </w:r>
      <w:hyperlink r:id="R14f36bd9deb74a81">
        <w:r w:rsidRPr="7EFAE108" w:rsidR="6E50C8DF">
          <w:rPr>
            <w:rStyle w:val="Hyperlink"/>
            <w:rFonts w:ascii="Calibri" w:hAnsi="Calibri" w:eastAsia="Calibri" w:cs="Calibri"/>
            <w:b w:val="0"/>
            <w:bCs w:val="0"/>
            <w:i w:val="0"/>
            <w:iCs w:val="0"/>
            <w:caps w:val="0"/>
            <w:smallCaps w:val="0"/>
            <w:noProof w:val="0"/>
            <w:sz w:val="27"/>
            <w:szCs w:val="27"/>
            <w:lang w:val="en-US"/>
          </w:rPr>
          <w:t>https://www.techtarget.com/whatis/feature/SolarWinds-hack-explained-Everything-you-need-to-know</w:t>
        </w:r>
      </w:hyperlink>
    </w:p>
    <w:p w:rsidR="4AA74A07" w:rsidP="7EFAE108" w:rsidRDefault="4AA74A07" w14:paraId="599E2DF1" w14:textId="48DC230C">
      <w:pPr>
        <w:spacing w:before="0" w:beforeAutospacing="off" w:after="0" w:afterAutospacing="off" w:line="480" w:lineRule="auto"/>
        <w:ind w:left="720" w:right="0" w:hanging="720"/>
        <w:rPr>
          <w:rFonts w:ascii="Calibri" w:hAnsi="Calibri" w:eastAsia="Calibri" w:cs="Calibri"/>
          <w:b w:val="0"/>
          <w:bCs w:val="0"/>
          <w:i w:val="0"/>
          <w:iCs w:val="0"/>
          <w:caps w:val="0"/>
          <w:smallCaps w:val="0"/>
          <w:noProof w:val="0"/>
          <w:color w:val="000000" w:themeColor="text1" w:themeTint="FF" w:themeShade="FF"/>
          <w:sz w:val="27"/>
          <w:szCs w:val="27"/>
          <w:lang w:val="en-US"/>
        </w:rPr>
      </w:pPr>
    </w:p>
    <w:p w:rsidR="6E50C8DF" w:rsidP="7EFAE108" w:rsidRDefault="6E50C8DF" w14:paraId="3BFC3A9E" w14:textId="0EEE5CDB">
      <w:pPr>
        <w:spacing w:before="0" w:beforeAutospacing="off" w:after="0" w:afterAutospacing="off" w:line="480" w:lineRule="auto"/>
        <w:ind w:left="720" w:right="0" w:hanging="720"/>
        <w:rPr>
          <w:rStyle w:val="Hyperlink"/>
          <w:rFonts w:ascii="Calibri" w:hAnsi="Calibri" w:eastAsia="Calibri" w:cs="Calibri"/>
          <w:b w:val="0"/>
          <w:bCs w:val="0"/>
          <w:i w:val="0"/>
          <w:iCs w:val="0"/>
          <w:caps w:val="0"/>
          <w:smallCaps w:val="0"/>
          <w:noProof w:val="0"/>
          <w:sz w:val="27"/>
          <w:szCs w:val="27"/>
          <w:lang w:val="en-US"/>
        </w:rPr>
      </w:pPr>
      <w:r w:rsidRPr="7EFAE108" w:rsidR="6E50C8DF">
        <w:rPr>
          <w:rFonts w:ascii="Calibri" w:hAnsi="Calibri" w:eastAsia="Calibri" w:cs="Calibri"/>
          <w:b w:val="0"/>
          <w:bCs w:val="0"/>
          <w:i w:val="0"/>
          <w:iCs w:val="0"/>
          <w:caps w:val="0"/>
          <w:smallCaps w:val="0"/>
          <w:noProof w:val="0"/>
          <w:color w:val="000000" w:themeColor="text1" w:themeTint="FF" w:themeShade="FF"/>
          <w:sz w:val="27"/>
          <w:szCs w:val="27"/>
          <w:lang w:val="en-US"/>
        </w:rPr>
        <w:t xml:space="preserve">Easterly, J., &amp; Fanning, T. (2023, May 7). </w:t>
      </w:r>
      <w:r w:rsidRPr="7EFAE108" w:rsidR="6E50C8DF">
        <w:rPr>
          <w:rFonts w:ascii="Calibri" w:hAnsi="Calibri" w:eastAsia="Calibri" w:cs="Calibri"/>
          <w:b w:val="0"/>
          <w:bCs w:val="0"/>
          <w:i w:val="1"/>
          <w:iCs w:val="1"/>
          <w:caps w:val="0"/>
          <w:smallCaps w:val="0"/>
          <w:noProof w:val="0"/>
          <w:color w:val="000000" w:themeColor="text1" w:themeTint="FF" w:themeShade="FF"/>
          <w:sz w:val="27"/>
          <w:szCs w:val="27"/>
          <w:lang w:val="en-US"/>
        </w:rPr>
        <w:t xml:space="preserve">The attack on colonial pipeline: What </w:t>
      </w:r>
      <w:bookmarkStart w:name="_Int_n3brOH2V" w:id="1872618322"/>
      <w:r w:rsidRPr="7EFAE108" w:rsidR="6E50C8DF">
        <w:rPr>
          <w:rFonts w:ascii="Calibri" w:hAnsi="Calibri" w:eastAsia="Calibri" w:cs="Calibri"/>
          <w:b w:val="0"/>
          <w:bCs w:val="0"/>
          <w:i w:val="1"/>
          <w:iCs w:val="1"/>
          <w:caps w:val="0"/>
          <w:smallCaps w:val="0"/>
          <w:noProof w:val="0"/>
          <w:color w:val="000000" w:themeColor="text1" w:themeTint="FF" w:themeShade="FF"/>
          <w:sz w:val="27"/>
          <w:szCs w:val="27"/>
          <w:lang w:val="en-US"/>
        </w:rPr>
        <w:t>we’ve</w:t>
      </w:r>
      <w:bookmarkEnd w:id="1872618322"/>
      <w:r w:rsidRPr="7EFAE108" w:rsidR="6E50C8DF">
        <w:rPr>
          <w:rFonts w:ascii="Calibri" w:hAnsi="Calibri" w:eastAsia="Calibri" w:cs="Calibri"/>
          <w:b w:val="0"/>
          <w:bCs w:val="0"/>
          <w:i w:val="1"/>
          <w:iCs w:val="1"/>
          <w:caps w:val="0"/>
          <w:smallCaps w:val="0"/>
          <w:noProof w:val="0"/>
          <w:color w:val="000000" w:themeColor="text1" w:themeTint="FF" w:themeShade="FF"/>
          <w:sz w:val="27"/>
          <w:szCs w:val="27"/>
          <w:lang w:val="en-US"/>
        </w:rPr>
        <w:t xml:space="preserve"> learned &amp; what </w:t>
      </w:r>
      <w:bookmarkStart w:name="_Int_mwgBLfR0" w:id="1202712886"/>
      <w:r w:rsidRPr="7EFAE108" w:rsidR="6E50C8DF">
        <w:rPr>
          <w:rFonts w:ascii="Calibri" w:hAnsi="Calibri" w:eastAsia="Calibri" w:cs="Calibri"/>
          <w:b w:val="0"/>
          <w:bCs w:val="0"/>
          <w:i w:val="1"/>
          <w:iCs w:val="1"/>
          <w:caps w:val="0"/>
          <w:smallCaps w:val="0"/>
          <w:noProof w:val="0"/>
          <w:color w:val="000000" w:themeColor="text1" w:themeTint="FF" w:themeShade="FF"/>
          <w:sz w:val="27"/>
          <w:szCs w:val="27"/>
          <w:lang w:val="en-US"/>
        </w:rPr>
        <w:t>we’ve</w:t>
      </w:r>
      <w:bookmarkEnd w:id="1202712886"/>
      <w:r w:rsidRPr="7EFAE108" w:rsidR="6E50C8DF">
        <w:rPr>
          <w:rFonts w:ascii="Calibri" w:hAnsi="Calibri" w:eastAsia="Calibri" w:cs="Calibri"/>
          <w:b w:val="0"/>
          <w:bCs w:val="0"/>
          <w:i w:val="1"/>
          <w:iCs w:val="1"/>
          <w:caps w:val="0"/>
          <w:smallCaps w:val="0"/>
          <w:noProof w:val="0"/>
          <w:color w:val="000000" w:themeColor="text1" w:themeTint="FF" w:themeShade="FF"/>
          <w:sz w:val="27"/>
          <w:szCs w:val="27"/>
          <w:lang w:val="en-US"/>
        </w:rPr>
        <w:t xml:space="preserve"> done over the past two years</w:t>
      </w:r>
      <w:r w:rsidRPr="7EFAE108" w:rsidR="6E50C8DF">
        <w:rPr>
          <w:rFonts w:ascii="Calibri" w:hAnsi="Calibri" w:eastAsia="Calibri" w:cs="Calibri"/>
          <w:b w:val="0"/>
          <w:bCs w:val="0"/>
          <w:i w:val="0"/>
          <w:iCs w:val="0"/>
          <w:caps w:val="0"/>
          <w:smallCaps w:val="0"/>
          <w:noProof w:val="0"/>
          <w:color w:val="000000" w:themeColor="text1" w:themeTint="FF" w:themeShade="FF"/>
          <w:sz w:val="27"/>
          <w:szCs w:val="27"/>
          <w:lang w:val="en-US"/>
        </w:rPr>
        <w:t>.</w:t>
      </w:r>
      <w:r w:rsidRPr="7EFAE108" w:rsidR="6E50C8DF">
        <w:rPr>
          <w:rFonts w:ascii="Calibri" w:hAnsi="Calibri" w:eastAsia="Calibri" w:cs="Calibri"/>
          <w:b w:val="0"/>
          <w:bCs w:val="0"/>
          <w:i w:val="0"/>
          <w:iCs w:val="0"/>
          <w:caps w:val="0"/>
          <w:smallCaps w:val="0"/>
          <w:noProof w:val="0"/>
          <w:color w:val="000000" w:themeColor="text1" w:themeTint="FF" w:themeShade="FF"/>
          <w:sz w:val="27"/>
          <w:szCs w:val="27"/>
          <w:lang w:val="en-US"/>
        </w:rPr>
        <w:t xml:space="preserve"> Cybersecurity and Infrastructure Security Agency. </w:t>
      </w:r>
      <w:hyperlink r:id="R56530a6d92c94836">
        <w:r w:rsidRPr="7EFAE108" w:rsidR="6E50C8DF">
          <w:rPr>
            <w:rStyle w:val="Hyperlink"/>
            <w:rFonts w:ascii="Calibri" w:hAnsi="Calibri" w:eastAsia="Calibri" w:cs="Calibri"/>
            <w:b w:val="0"/>
            <w:bCs w:val="0"/>
            <w:i w:val="0"/>
            <w:iCs w:val="0"/>
            <w:caps w:val="0"/>
            <w:smallCaps w:val="0"/>
            <w:noProof w:val="0"/>
            <w:sz w:val="27"/>
            <w:szCs w:val="27"/>
            <w:lang w:val="en-US"/>
          </w:rPr>
          <w:t>https://www.cisa.gov/news-events/news/attack-colonial-pipeline-what-weve-learned-what-weve-done-over-past-two-years</w:t>
        </w:r>
      </w:hyperlink>
    </w:p>
    <w:p w:rsidR="6E50C8DF" w:rsidP="4AA74A07" w:rsidRDefault="6E50C8DF" w14:paraId="6B279B33" w14:textId="10EE7CB1">
      <w:pPr>
        <w:spacing w:before="240" w:beforeAutospacing="off" w:after="240" w:afterAutospacing="off"/>
      </w:pPr>
      <w:r w:rsidRPr="4AA74A07" w:rsidR="6E50C8DF">
        <w:rPr>
          <w:rFonts w:ascii="Calibri" w:hAnsi="Calibri" w:eastAsia="Calibri" w:cs="Calibri"/>
          <w:b w:val="0"/>
          <w:bCs w:val="0"/>
          <w:i w:val="0"/>
          <w:iCs w:val="0"/>
          <w:caps w:val="0"/>
          <w:smallCaps w:val="0"/>
          <w:noProof w:val="0"/>
          <w:color w:val="000000" w:themeColor="text1" w:themeTint="FF" w:themeShade="FF"/>
          <w:sz w:val="27"/>
          <w:szCs w:val="27"/>
          <w:lang w:val="en-US"/>
        </w:rPr>
        <w:t>‌</w:t>
      </w:r>
    </w:p>
    <w:p w:rsidR="4AA74A07" w:rsidP="4AA74A07" w:rsidRDefault="4AA74A07" w14:paraId="511FF031" w14:textId="1F29E326">
      <w:pPr>
        <w:spacing w:before="0" w:beforeAutospacing="off" w:after="0" w:afterAutospacing="off"/>
        <w:ind w:left="720" w:right="0" w:hanging="720"/>
        <w:rPr>
          <w:rFonts w:ascii="Calibri" w:hAnsi="Calibri" w:eastAsia="Calibri" w:cs="Calibri"/>
          <w:b w:val="0"/>
          <w:bCs w:val="0"/>
          <w:i w:val="0"/>
          <w:iCs w:val="0"/>
          <w:caps w:val="0"/>
          <w:smallCaps w:val="0"/>
          <w:noProof w:val="0"/>
          <w:sz w:val="27"/>
          <w:szCs w:val="27"/>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04fkOy675HcnxZ" int2:id="AFoVoPWf">
      <int2:state int2:type="AugLoop_Text_Critique" int2:value="Rejected"/>
    </int2:textHash>
    <int2:textHash int2:hashCode="9mnWu5ylxR++ly" int2:id="zVCXBhGx">
      <int2:state int2:type="AugLoop_Text_Critique" int2:value="Rejected"/>
    </int2:textHash>
    <int2:bookmark int2:bookmarkName="_Int_mwgBLfR0" int2:invalidationBookmarkName="" int2:hashCode="9jlRSg298I3/X6" int2:id="dG8zrOA6">
      <int2:state int2:type="AugLoop_Text_Critique" int2:value="Rejected"/>
    </int2:bookmark>
    <int2:bookmark int2:bookmarkName="_Int_n3brOH2V" int2:invalidationBookmarkName="" int2:hashCode="9jlRSg298I3/X6" int2:id="57ZkTLv1">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1435BB"/>
    <w:rsid w:val="12AE2098"/>
    <w:rsid w:val="1F5FB62F"/>
    <w:rsid w:val="2676E413"/>
    <w:rsid w:val="293BBB05"/>
    <w:rsid w:val="30558B37"/>
    <w:rsid w:val="306E0737"/>
    <w:rsid w:val="31CEBB21"/>
    <w:rsid w:val="361B6664"/>
    <w:rsid w:val="39D93193"/>
    <w:rsid w:val="4AA74A07"/>
    <w:rsid w:val="4C1435BB"/>
    <w:rsid w:val="4FB3C900"/>
    <w:rsid w:val="5522A66C"/>
    <w:rsid w:val="6098C25F"/>
    <w:rsid w:val="653004F4"/>
    <w:rsid w:val="6A2E33AD"/>
    <w:rsid w:val="6B251DD1"/>
    <w:rsid w:val="6E50C8DF"/>
    <w:rsid w:val="72846CF2"/>
    <w:rsid w:val="7EFAE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435BB"/>
  <w15:chartTrackingRefBased/>
  <w15:docId w15:val="{3278563F-D045-4B40-A7B6-A84C1B1BA3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4AA74A0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b7e39ea215d14765" /><Relationship Type="http://schemas.openxmlformats.org/officeDocument/2006/relationships/hyperlink" Target="https://www.techtarget.com/whatis/feature/SolarWinds-hack-explained-Everything-you-need-to-know" TargetMode="External" Id="R14f36bd9deb74a81" /><Relationship Type="http://schemas.openxmlformats.org/officeDocument/2006/relationships/hyperlink" Target="https://www.cisa.gov/news-events/news/attack-colonial-pipeline-what-weve-learned-what-weve-done-over-past-two-years" TargetMode="External" Id="R56530a6d92c9483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2025-02-13T22:29:25.1217069Z</dcterms:created>
  <dcterms:modified xsi:type="dcterms:W3CDTF">2025-02-18T03:52:59.7709276Z</dcterms:modified>
  <dc:creator>Arturo Astorga</dc:creator>
  <lastModifiedBy>Arturo Astorga</lastModifiedBy>
</coreProperties>
</file>