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</w:p>
    <w:p w:rsidR="003A4A6D" w:rsidRDefault="003A4A6D" w:rsidP="003A4A6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140-07801/15и  от 18 ноября 2015 года</w:t>
      </w:r>
    </w:p>
    <w:p w:rsidR="00B17FEC" w:rsidRDefault="00B17FEC" w:rsidP="00B17FEC">
      <w:pPr>
        <w:rPr>
          <w:rFonts w:ascii="Arial" w:hAnsi="Arial" w:cs="Arial"/>
          <w:b/>
          <w:sz w:val="24"/>
          <w:szCs w:val="24"/>
          <w:u w:val="single"/>
        </w:rPr>
      </w:pPr>
    </w:p>
    <w:p w:rsidR="00B17FEC" w:rsidRDefault="00B17FEC" w:rsidP="00B17FEC">
      <w:pPr>
        <w:rPr>
          <w:rFonts w:ascii="Arial" w:hAnsi="Arial" w:cs="Arial"/>
          <w:b/>
          <w:sz w:val="24"/>
          <w:szCs w:val="24"/>
          <w:u w:val="single"/>
        </w:rPr>
      </w:pPr>
    </w:p>
    <w:p w:rsidR="00B17FEC" w:rsidRDefault="00B17FEC" w:rsidP="00B17FEC">
      <w:pPr>
        <w:rPr>
          <w:rFonts w:ascii="Arial" w:hAnsi="Arial" w:cs="Arial"/>
          <w:b/>
          <w:sz w:val="24"/>
          <w:szCs w:val="24"/>
          <w:u w:val="single"/>
        </w:rPr>
      </w:pPr>
    </w:p>
    <w:p w:rsidR="00B17FEC" w:rsidRDefault="00B17FEC" w:rsidP="00B17FEC">
      <w:pPr>
        <w:rPr>
          <w:rFonts w:ascii="Arial" w:hAnsi="Arial" w:cs="Arial"/>
          <w:b/>
          <w:sz w:val="24"/>
          <w:szCs w:val="24"/>
          <w:u w:val="single"/>
        </w:rPr>
      </w:pPr>
    </w:p>
    <w:p w:rsidR="00B17FEC" w:rsidRPr="004A44DD" w:rsidRDefault="00B17FEC" w:rsidP="00B17FEC">
      <w:pPr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B17FEC" w:rsidRPr="004A44DD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высоком загрязнении окружающей среды,</w:t>
      </w:r>
    </w:p>
    <w:p w:rsidR="00B17FEC" w:rsidRPr="004A44DD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а также радиационной обстановке на </w:t>
      </w:r>
    </w:p>
    <w:p w:rsidR="00B17FEC" w:rsidRPr="004A44DD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территории </w:t>
      </w:r>
      <w:r w:rsidRPr="004A44DD">
        <w:rPr>
          <w:rFonts w:ascii="Arial" w:hAnsi="Arial" w:cs="Arial"/>
          <w:sz w:val="24"/>
          <w:szCs w:val="24"/>
        </w:rPr>
        <w:t xml:space="preserve">России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>е 2015 года</w:t>
      </w:r>
    </w:p>
    <w:p w:rsidR="00B17FEC" w:rsidRPr="004A44DD" w:rsidRDefault="00B17FEC" w:rsidP="00B17FE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17FEC" w:rsidRPr="004A44DD" w:rsidRDefault="00B17FEC" w:rsidP="00B17FEC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октябр</w:t>
      </w:r>
      <w:r w:rsidRPr="004A44DD">
        <w:rPr>
          <w:rFonts w:ascii="Arial" w:hAnsi="Arial" w:cs="Arial"/>
          <w:szCs w:val="24"/>
        </w:rPr>
        <w:t>е 2015 года.</w:t>
      </w:r>
    </w:p>
    <w:p w:rsidR="00B17FEC" w:rsidRPr="004A44DD" w:rsidRDefault="00B17FEC" w:rsidP="00B17FEC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B17FEC" w:rsidRPr="004A44DD" w:rsidRDefault="00B17FEC" w:rsidP="00B17FEC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B17FEC" w:rsidRDefault="00B17FEC" w:rsidP="00B17FEC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B17FEC" w:rsidRPr="00E23F90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3F90">
        <w:rPr>
          <w:rFonts w:ascii="Arial" w:hAnsi="Arial" w:cs="Arial"/>
          <w:sz w:val="24"/>
          <w:szCs w:val="24"/>
        </w:rPr>
        <w:t xml:space="preserve">В связи с поступившими 1 октября многочисленными жалобами населения на устойчивый несвойственный территории запах в атмосферном воздухе </w:t>
      </w:r>
      <w:proofErr w:type="spellStart"/>
      <w:r w:rsidRPr="00E23F90">
        <w:rPr>
          <w:rFonts w:ascii="Arial" w:hAnsi="Arial" w:cs="Arial"/>
          <w:sz w:val="24"/>
          <w:szCs w:val="24"/>
        </w:rPr>
        <w:t>Сормовского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 района г.</w:t>
      </w:r>
      <w:r>
        <w:rPr>
          <w:rFonts w:ascii="Arial" w:hAnsi="Arial" w:cs="Arial"/>
          <w:sz w:val="24"/>
          <w:szCs w:val="24"/>
        </w:rPr>
        <w:t xml:space="preserve"> </w:t>
      </w:r>
      <w:r w:rsidRPr="00E23F90">
        <w:rPr>
          <w:rFonts w:ascii="Arial" w:hAnsi="Arial" w:cs="Arial"/>
          <w:sz w:val="24"/>
          <w:szCs w:val="24"/>
        </w:rPr>
        <w:t>Нижн</w:t>
      </w:r>
      <w:r>
        <w:rPr>
          <w:rFonts w:ascii="Arial" w:hAnsi="Arial" w:cs="Arial"/>
          <w:sz w:val="24"/>
          <w:szCs w:val="24"/>
        </w:rPr>
        <w:t>его</w:t>
      </w:r>
      <w:r w:rsidRPr="00E23F90">
        <w:rPr>
          <w:rFonts w:ascii="Arial" w:hAnsi="Arial" w:cs="Arial"/>
          <w:sz w:val="24"/>
          <w:szCs w:val="24"/>
        </w:rPr>
        <w:t xml:space="preserve"> Новгород</w:t>
      </w:r>
      <w:r>
        <w:rPr>
          <w:rFonts w:ascii="Arial" w:hAnsi="Arial" w:cs="Arial"/>
          <w:sz w:val="24"/>
          <w:szCs w:val="24"/>
        </w:rPr>
        <w:t>а</w:t>
      </w:r>
      <w:r w:rsidRPr="00E23F90">
        <w:rPr>
          <w:rFonts w:ascii="Arial" w:hAnsi="Arial" w:cs="Arial"/>
          <w:sz w:val="24"/>
          <w:szCs w:val="24"/>
        </w:rPr>
        <w:t xml:space="preserve"> (ул.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3F90">
        <w:rPr>
          <w:rFonts w:ascii="Arial" w:hAnsi="Arial" w:cs="Arial"/>
          <w:sz w:val="24"/>
          <w:szCs w:val="24"/>
        </w:rPr>
        <w:t>Федосеенко</w:t>
      </w:r>
      <w:proofErr w:type="spellEnd"/>
      <w:r w:rsidRPr="00E23F90">
        <w:rPr>
          <w:rFonts w:ascii="Arial" w:hAnsi="Arial" w:cs="Arial"/>
          <w:sz w:val="24"/>
          <w:szCs w:val="24"/>
        </w:rPr>
        <w:t>) специалистами ФГБУ «</w:t>
      </w:r>
      <w:proofErr w:type="spellStart"/>
      <w:r w:rsidRPr="00E23F90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 УГМС» </w:t>
      </w:r>
      <w:r>
        <w:rPr>
          <w:rFonts w:ascii="Arial" w:hAnsi="Arial" w:cs="Arial"/>
          <w:sz w:val="24"/>
          <w:szCs w:val="24"/>
        </w:rPr>
        <w:t>Росгидромета</w:t>
      </w:r>
      <w:r w:rsidRPr="00E23F90">
        <w:rPr>
          <w:rFonts w:ascii="Arial" w:hAnsi="Arial" w:cs="Arial"/>
          <w:sz w:val="24"/>
          <w:szCs w:val="24"/>
        </w:rPr>
        <w:t xml:space="preserve"> было проведено экспедиционное обследование </w:t>
      </w:r>
      <w:r>
        <w:rPr>
          <w:rFonts w:ascii="Arial" w:hAnsi="Arial" w:cs="Arial"/>
          <w:sz w:val="24"/>
          <w:szCs w:val="24"/>
        </w:rPr>
        <w:t>(</w:t>
      </w:r>
      <w:r w:rsidRPr="00E23F90">
        <w:rPr>
          <w:rFonts w:ascii="Arial" w:hAnsi="Arial" w:cs="Arial"/>
          <w:sz w:val="24"/>
          <w:szCs w:val="24"/>
        </w:rPr>
        <w:t>с помощью мобильной экологической лаборатории</w:t>
      </w:r>
      <w:r>
        <w:rPr>
          <w:rFonts w:ascii="Arial" w:hAnsi="Arial" w:cs="Arial"/>
          <w:sz w:val="24"/>
          <w:szCs w:val="24"/>
        </w:rPr>
        <w:t>)</w:t>
      </w:r>
      <w:r w:rsidRPr="00E23F90">
        <w:rPr>
          <w:rFonts w:ascii="Arial" w:hAnsi="Arial" w:cs="Arial"/>
          <w:sz w:val="24"/>
          <w:szCs w:val="24"/>
        </w:rPr>
        <w:t xml:space="preserve"> состояния загрязнения атмосферного воздуха в жилой зоне указанного района города по адресу 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3F90">
        <w:rPr>
          <w:rFonts w:ascii="Arial" w:hAnsi="Arial" w:cs="Arial"/>
          <w:sz w:val="24"/>
          <w:szCs w:val="24"/>
        </w:rPr>
        <w:t>Федосеенко</w:t>
      </w:r>
      <w:proofErr w:type="spellEnd"/>
      <w:r w:rsidRPr="00E23F90">
        <w:rPr>
          <w:rFonts w:ascii="Arial" w:hAnsi="Arial" w:cs="Arial"/>
          <w:sz w:val="24"/>
          <w:szCs w:val="24"/>
        </w:rPr>
        <w:t>, 53. При отборе проб в воздухе отмечался сильный запах</w:t>
      </w:r>
      <w:r>
        <w:rPr>
          <w:rFonts w:ascii="Arial" w:hAnsi="Arial" w:cs="Arial"/>
          <w:sz w:val="24"/>
          <w:szCs w:val="24"/>
        </w:rPr>
        <w:t>,</w:t>
      </w:r>
      <w:r w:rsidRPr="00E23F90">
        <w:rPr>
          <w:rFonts w:ascii="Arial" w:hAnsi="Arial" w:cs="Arial"/>
          <w:sz w:val="24"/>
          <w:szCs w:val="24"/>
        </w:rPr>
        <w:t xml:space="preserve"> идентичный запаху хлора. Результаты анализа отобранных проб воздуха повышенных концентраций специфических загрязняющих веществ, в том числе хлора, не выявили. В связи с сохранившимся 2 октября запахом в атмосферном </w:t>
      </w:r>
      <w:r w:rsidRPr="00E23F90">
        <w:rPr>
          <w:rFonts w:ascii="Arial" w:hAnsi="Arial" w:cs="Arial"/>
          <w:sz w:val="24"/>
          <w:szCs w:val="24"/>
        </w:rPr>
        <w:lastRenderedPageBreak/>
        <w:t>воздухе указанного района г</w:t>
      </w:r>
      <w:r>
        <w:rPr>
          <w:rFonts w:ascii="Arial" w:hAnsi="Arial" w:cs="Arial"/>
          <w:sz w:val="24"/>
          <w:szCs w:val="24"/>
        </w:rPr>
        <w:t>орода</w:t>
      </w:r>
      <w:r w:rsidRPr="00E23F90">
        <w:rPr>
          <w:rFonts w:ascii="Arial" w:hAnsi="Arial" w:cs="Arial"/>
          <w:sz w:val="24"/>
          <w:szCs w:val="24"/>
        </w:rPr>
        <w:t xml:space="preserve"> специалистами ФГБУ «</w:t>
      </w:r>
      <w:proofErr w:type="spellStart"/>
      <w:r w:rsidRPr="00E23F90">
        <w:rPr>
          <w:rFonts w:ascii="Arial" w:hAnsi="Arial" w:cs="Arial"/>
          <w:sz w:val="24"/>
          <w:szCs w:val="24"/>
        </w:rPr>
        <w:t>Верхне-Волжское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» УГМС был произведен дополнительный отбор проб воздуха в жилой зоне по </w:t>
      </w:r>
      <w:r>
        <w:rPr>
          <w:rFonts w:ascii="Arial" w:hAnsi="Arial" w:cs="Arial"/>
          <w:sz w:val="24"/>
          <w:szCs w:val="24"/>
        </w:rPr>
        <w:t xml:space="preserve">     </w:t>
      </w:r>
      <w:r w:rsidRPr="00E23F90">
        <w:rPr>
          <w:rFonts w:ascii="Arial" w:hAnsi="Arial" w:cs="Arial"/>
          <w:sz w:val="24"/>
          <w:szCs w:val="24"/>
        </w:rPr>
        <w:t>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3F90">
        <w:rPr>
          <w:rFonts w:ascii="Arial" w:hAnsi="Arial" w:cs="Arial"/>
          <w:sz w:val="24"/>
          <w:szCs w:val="24"/>
        </w:rPr>
        <w:t>Федосеенко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 для определения содержания хлора и хлорида водорода</w:t>
      </w:r>
      <w:r>
        <w:rPr>
          <w:rFonts w:ascii="Arial" w:hAnsi="Arial" w:cs="Arial"/>
          <w:sz w:val="24"/>
          <w:szCs w:val="24"/>
        </w:rPr>
        <w:t xml:space="preserve">, </w:t>
      </w:r>
      <w:r w:rsidRPr="00E23F90">
        <w:rPr>
          <w:rFonts w:ascii="Arial" w:hAnsi="Arial" w:cs="Arial"/>
          <w:sz w:val="24"/>
          <w:szCs w:val="24"/>
        </w:rPr>
        <w:t>обладающих резким запахом. По результатам анализа отобранных проб</w:t>
      </w:r>
      <w:r>
        <w:rPr>
          <w:rFonts w:ascii="Arial" w:hAnsi="Arial" w:cs="Arial"/>
          <w:sz w:val="24"/>
          <w:szCs w:val="24"/>
        </w:rPr>
        <w:t>,</w:t>
      </w:r>
      <w:r w:rsidRPr="00E23F90">
        <w:rPr>
          <w:rFonts w:ascii="Arial" w:hAnsi="Arial" w:cs="Arial"/>
          <w:sz w:val="24"/>
          <w:szCs w:val="24"/>
        </w:rPr>
        <w:t xml:space="preserve"> содержание указанных вредных примесей в воздухе не превысило гигиенических нормативов.  </w:t>
      </w:r>
    </w:p>
    <w:p w:rsidR="00B17FEC" w:rsidRPr="00E23F90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3F90">
        <w:rPr>
          <w:rFonts w:ascii="Arial" w:hAnsi="Arial" w:cs="Arial"/>
          <w:sz w:val="24"/>
          <w:szCs w:val="24"/>
        </w:rPr>
        <w:t>Кроме того, 2 октября отбор проб атмосферного воздуха на 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3F90">
        <w:rPr>
          <w:rFonts w:ascii="Arial" w:hAnsi="Arial" w:cs="Arial"/>
          <w:sz w:val="24"/>
          <w:szCs w:val="24"/>
        </w:rPr>
        <w:t>Федосеенко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 осуществлялся передвижной лабораторией ФБУ «Центр гигиены и эпидемиологии Нижегородской области». Результаты анализа проб воздуха, отобранных в расположенной на данной улице промышленной зоне, показали, что концентрации хлора достигали от 5 до 25 </w:t>
      </w:r>
      <w:proofErr w:type="spellStart"/>
      <w:r w:rsidRPr="00E23F90">
        <w:rPr>
          <w:rFonts w:ascii="Arial" w:hAnsi="Arial" w:cs="Arial"/>
          <w:sz w:val="24"/>
          <w:szCs w:val="24"/>
        </w:rPr>
        <w:t>ПДКм.р</w:t>
      </w:r>
      <w:proofErr w:type="spellEnd"/>
      <w:r w:rsidRPr="00E23F90">
        <w:rPr>
          <w:rFonts w:ascii="Arial" w:hAnsi="Arial" w:cs="Arial"/>
          <w:sz w:val="24"/>
          <w:szCs w:val="24"/>
        </w:rPr>
        <w:t xml:space="preserve">. В жилой зоне по указанному адресу передвижная лаборатория ФБУ «Центр гигиены и эпидемиологии Нижегородской области» повышенных концентраций хлора также не выявила. 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3F90">
        <w:rPr>
          <w:rFonts w:ascii="Arial" w:hAnsi="Arial" w:cs="Arial"/>
          <w:sz w:val="24"/>
          <w:szCs w:val="24"/>
        </w:rPr>
        <w:t>С учетом сложившихся 1-2 октября метеорологических условий (слабый ветер</w:t>
      </w:r>
      <w:r>
        <w:rPr>
          <w:rFonts w:ascii="Arial" w:hAnsi="Arial" w:cs="Arial"/>
          <w:sz w:val="24"/>
          <w:szCs w:val="24"/>
        </w:rPr>
        <w:t>,</w:t>
      </w:r>
      <w:r w:rsidRPr="00E23F90">
        <w:rPr>
          <w:rFonts w:ascii="Arial" w:hAnsi="Arial" w:cs="Arial"/>
          <w:sz w:val="24"/>
          <w:szCs w:val="24"/>
        </w:rPr>
        <w:t xml:space="preserve"> 1 м/с), препятствующих атмосферному переносу воздушных масс, загрязнение атмосферного воздуха хлором носило локальный характер. </w:t>
      </w:r>
    </w:p>
    <w:p w:rsidR="00B17FEC" w:rsidRPr="00E23F90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3F90">
        <w:rPr>
          <w:rFonts w:ascii="Arial" w:hAnsi="Arial" w:cs="Arial"/>
          <w:sz w:val="24"/>
          <w:szCs w:val="24"/>
        </w:rPr>
        <w:t>Утечка хлора произошла на предприятии по переработке металлолома при резке емкости из-под химических веществ. Силами пожарно-спасательных подразделений ГУ МЧС России по Нижегородской области 2 октября загрязнение хлором было ликвидировано.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B17FEC" w:rsidRDefault="00B17FEC" w:rsidP="00B17FEC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октября в реке Дачной (бассейн Амура) в черте г. Арсеньева Приморского края был зарегистрирован дефицит кислорода (1,2 мг/л), соответствующий уровню экстремально высокого загрязнения (ЭВЗ). По данным ФГБУ «Приморское УГМС» Росгидромета, ЭВЗ обусловлено сбросом в реку коммунальных сточных вод.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октября в реке </w:t>
      </w:r>
      <w:proofErr w:type="spellStart"/>
      <w:r>
        <w:rPr>
          <w:rFonts w:ascii="Arial" w:hAnsi="Arial" w:cs="Arial"/>
          <w:sz w:val="24"/>
          <w:szCs w:val="24"/>
        </w:rPr>
        <w:t>Падовке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Волги) в черте поселка </w:t>
      </w:r>
      <w:proofErr w:type="spellStart"/>
      <w:r>
        <w:rPr>
          <w:rFonts w:ascii="Arial" w:hAnsi="Arial" w:cs="Arial"/>
          <w:sz w:val="24"/>
          <w:szCs w:val="24"/>
        </w:rPr>
        <w:t>Стройкерамика</w:t>
      </w:r>
      <w:proofErr w:type="spellEnd"/>
      <w:r>
        <w:rPr>
          <w:rFonts w:ascii="Arial" w:hAnsi="Arial" w:cs="Arial"/>
          <w:sz w:val="24"/>
          <w:szCs w:val="24"/>
        </w:rPr>
        <w:t xml:space="preserve"> Волжского района Самарской области был зарегистрирован дефицит кислорода (0,3 мг/л), соответствующий уровню ЭВЗ, а также ЭВЗ речной воды аммонийным азотом (55 ПДК*) и высокое загрязнение ионами марганца (32 ПДК) и </w:t>
      </w:r>
      <w:proofErr w:type="spellStart"/>
      <w:r>
        <w:rPr>
          <w:rFonts w:ascii="Arial" w:hAnsi="Arial" w:cs="Arial"/>
          <w:sz w:val="24"/>
          <w:szCs w:val="24"/>
        </w:rPr>
        <w:t>трудноокисляемыми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ХПК (14 ПДК). По данным ФГБУ  «Приволжское  УГМС»  Росгидромета,  причиной  дефицита   кислорода   и </w:t>
      </w:r>
    </w:p>
    <w:p w:rsidR="00B17FEC" w:rsidRPr="00D67CC2" w:rsidRDefault="00B17FEC" w:rsidP="00B17FEC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B17FEC" w:rsidRPr="004A44DD" w:rsidRDefault="00B17FEC" w:rsidP="00B17FEC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B17FEC" w:rsidRDefault="00B17FEC" w:rsidP="00B17FEC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4A44DD">
        <w:rPr>
          <w:rFonts w:ascii="Arial" w:hAnsi="Arial" w:cs="Arial"/>
          <w:sz w:val="20"/>
          <w:szCs w:val="20"/>
        </w:rPr>
        <w:t xml:space="preserve">  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водных объектов</w:t>
      </w:r>
    </w:p>
    <w:p w:rsidR="00B17FEC" w:rsidRPr="002055F1" w:rsidRDefault="00B17FEC" w:rsidP="00B17FEC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lastRenderedPageBreak/>
        <w:t xml:space="preserve">экстремально высокого содержания аммонийного азота является загрязнение речной воды в районе сброса сточных вод ООО "Самарский </w:t>
      </w:r>
      <w:proofErr w:type="spellStart"/>
      <w:r>
        <w:rPr>
          <w:rFonts w:ascii="Arial" w:hAnsi="Arial" w:cs="Arial"/>
          <w:sz w:val="24"/>
          <w:szCs w:val="24"/>
        </w:rPr>
        <w:t>С</w:t>
      </w:r>
      <w:r w:rsidRPr="003F0C4D">
        <w:rPr>
          <w:rFonts w:ascii="Arial" w:hAnsi="Arial" w:cs="Arial"/>
          <w:sz w:val="24"/>
          <w:szCs w:val="24"/>
        </w:rPr>
        <w:t>тройфарфор</w:t>
      </w:r>
      <w:proofErr w:type="spellEnd"/>
      <w:r w:rsidRPr="003F0C4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 усугубленное малой водностью реки.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B17FEC" w:rsidRPr="00B83D48" w:rsidRDefault="00B17FEC" w:rsidP="00B17F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83D48">
        <w:rPr>
          <w:rFonts w:ascii="Arial" w:hAnsi="Arial" w:cs="Arial"/>
          <w:sz w:val="24"/>
          <w:szCs w:val="24"/>
        </w:rPr>
        <w:t>В октябре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B83D48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B83D48">
        <w:rPr>
          <w:rFonts w:ascii="Arial" w:hAnsi="Arial" w:cs="Arial"/>
          <w:sz w:val="24"/>
          <w:szCs w:val="24"/>
        </w:rPr>
        <w:t>в октябре 2014 г</w:t>
      </w:r>
      <w:r>
        <w:rPr>
          <w:rFonts w:ascii="Arial" w:hAnsi="Arial" w:cs="Arial"/>
          <w:sz w:val="24"/>
          <w:szCs w:val="24"/>
        </w:rPr>
        <w:t>ода</w:t>
      </w:r>
      <w:r w:rsidRPr="00B83D48">
        <w:rPr>
          <w:rFonts w:ascii="Arial" w:hAnsi="Arial" w:cs="Arial"/>
          <w:sz w:val="24"/>
          <w:szCs w:val="24"/>
        </w:rPr>
        <w:t xml:space="preserve"> – 1 случай по органолептическим признакам).</w:t>
      </w:r>
    </w:p>
    <w:p w:rsidR="00B17FEC" w:rsidRPr="004A44DD" w:rsidRDefault="00B17FEC" w:rsidP="00B17FEC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B17FEC" w:rsidRPr="004A44DD" w:rsidRDefault="00B17FEC" w:rsidP="00B17FE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>е 2015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</w:t>
      </w:r>
      <w:r>
        <w:rPr>
          <w:rFonts w:ascii="Arial" w:hAnsi="Arial" w:cs="Arial"/>
          <w:sz w:val="24"/>
          <w:szCs w:val="24"/>
        </w:rPr>
        <w:t>идромета были зарегистрированы 5</w:t>
      </w:r>
      <w:r w:rsidRPr="004A44DD">
        <w:rPr>
          <w:rFonts w:ascii="Arial" w:hAnsi="Arial" w:cs="Arial"/>
          <w:sz w:val="24"/>
          <w:szCs w:val="24"/>
        </w:rPr>
        <w:t xml:space="preserve"> раз </w:t>
      </w: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4 водных объ</w:t>
      </w:r>
      <w:r w:rsidRPr="004A44DD">
        <w:rPr>
          <w:rFonts w:ascii="Arial" w:hAnsi="Arial" w:cs="Arial"/>
          <w:sz w:val="24"/>
          <w:szCs w:val="24"/>
        </w:rPr>
        <w:t xml:space="preserve">ектах (для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были зарегистрированы 3 раза </w:t>
      </w:r>
      <w:r w:rsidRPr="004A44DD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 xml:space="preserve">3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29 раз на 19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 xml:space="preserve">34 </w:t>
      </w:r>
      <w:r w:rsidRPr="004A44DD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24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34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22</w:t>
      </w:r>
      <w:r w:rsidRPr="004A44DD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37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27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B17FEC" w:rsidRPr="004737FB" w:rsidRDefault="00B17FEC" w:rsidP="00B17FEC">
      <w:pPr>
        <w:pStyle w:val="a9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____________________________________________________</w:t>
      </w:r>
    </w:p>
    <w:p w:rsidR="00B17FEC" w:rsidRPr="004A44DD" w:rsidRDefault="00B17FEC" w:rsidP="00B17FEC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</w:p>
    <w:p w:rsidR="00B17FEC" w:rsidRPr="004A44DD" w:rsidRDefault="00B17FEC" w:rsidP="00B17FEC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B17FEC" w:rsidRPr="004A44DD" w:rsidRDefault="00B17FEC" w:rsidP="00B17FEC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B17FEC" w:rsidRPr="004A44DD" w:rsidRDefault="00B17FEC" w:rsidP="00B17F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17FEC" w:rsidRPr="004A44DD" w:rsidRDefault="00B17FEC" w:rsidP="00B17F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17FEC" w:rsidRPr="004A44DD" w:rsidRDefault="00B17FEC" w:rsidP="00B17F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B17FEC" w:rsidRPr="004A44DD" w:rsidRDefault="00B17FEC" w:rsidP="00B17FE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17FEC" w:rsidRPr="004A44DD" w:rsidRDefault="00B17FEC" w:rsidP="00B17F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17FEC" w:rsidRPr="004A44DD" w:rsidRDefault="00B17FEC" w:rsidP="00B17FE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17FEC" w:rsidRDefault="00B17FEC" w:rsidP="00B17FEC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17FEC" w:rsidRPr="004A44DD" w:rsidRDefault="00B17FEC" w:rsidP="00B17FEC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В октябре 2015 года случаи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4F6572">
        <w:rPr>
          <w:rFonts w:ascii="Arial" w:hAnsi="Arial" w:cs="Arial"/>
          <w:sz w:val="24"/>
          <w:szCs w:val="24"/>
        </w:rPr>
        <w:t>**) вредными примесями атмосферного воздуха в населенных пунктах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F6572">
        <w:rPr>
          <w:rFonts w:ascii="Arial" w:hAnsi="Arial" w:cs="Arial"/>
          <w:sz w:val="24"/>
          <w:szCs w:val="24"/>
        </w:rPr>
        <w:t xml:space="preserve">в октябре 2014 года –  в 1 городе в 1 случае).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 w:rsidRPr="00C027A3">
        <w:rPr>
          <w:rFonts w:ascii="Arial" w:hAnsi="Arial" w:cs="Arial"/>
          <w:sz w:val="24"/>
          <w:szCs w:val="24"/>
        </w:rPr>
        <w:t>203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 w:rsidRPr="00C027A3">
        <w:rPr>
          <w:rFonts w:ascii="Arial" w:hAnsi="Arial" w:cs="Arial"/>
          <w:sz w:val="24"/>
          <w:szCs w:val="24"/>
        </w:rPr>
        <w:t>97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174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83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B17FEC" w:rsidRDefault="00B17FEC" w:rsidP="00B17FE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B17FEC" w:rsidRPr="004A44DD" w:rsidTr="0051476A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17FEC" w:rsidRPr="004A44DD" w:rsidTr="0051476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17FEC" w:rsidRDefault="00B17FEC" w:rsidP="00B17FEC">
      <w:pPr>
        <w:pStyle w:val="a5"/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B17FEC" w:rsidRPr="004A44DD" w:rsidRDefault="00B17FEC" w:rsidP="00B17FEC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___________________________________</w:t>
      </w:r>
    </w:p>
    <w:p w:rsidR="00B17FEC" w:rsidRPr="004A44DD" w:rsidRDefault="00B17FEC" w:rsidP="00B17FEC">
      <w:pPr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B17FEC" w:rsidRDefault="00B17FEC" w:rsidP="00B17FEC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B17FEC" w:rsidRPr="004A44DD" w:rsidTr="0051476A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80 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9C50F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17FEC" w:rsidRPr="004A44DD" w:rsidTr="0051476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4A44D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17FEC" w:rsidRDefault="00B17FEC" w:rsidP="00B17F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В октябре</w:t>
      </w:r>
      <w:r>
        <w:rPr>
          <w:rFonts w:ascii="Arial" w:hAnsi="Arial" w:cs="Arial"/>
          <w:sz w:val="24"/>
          <w:szCs w:val="24"/>
        </w:rPr>
        <w:t>,</w:t>
      </w:r>
      <w:r w:rsidRPr="004F657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4F657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4F657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 и фенола.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F6572">
        <w:rPr>
          <w:rFonts w:ascii="Arial" w:hAnsi="Arial" w:cs="Arial"/>
          <w:sz w:val="24"/>
          <w:szCs w:val="24"/>
        </w:rPr>
        <w:t xml:space="preserve">Москвы (район «Замоскворечье») и определялся НП=2%, СИ=1. 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7FEC" w:rsidRPr="003B3F23" w:rsidRDefault="00B17FEC" w:rsidP="00B17FE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B17FEC" w:rsidRPr="004737FB" w:rsidRDefault="00B17FEC" w:rsidP="00B17F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B17FEC" w:rsidRPr="004737FB" w:rsidRDefault="00B17FEC" w:rsidP="00B17FEC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B17FEC" w:rsidRPr="004737FB" w:rsidRDefault="00B17FEC" w:rsidP="00B17FE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17FEC" w:rsidRPr="004737FB" w:rsidRDefault="00B17FEC" w:rsidP="00B17FEC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отмечался в  Центральном (район «Мещанский») и Южном (районы «Нагорный» и «</w:t>
      </w:r>
      <w:proofErr w:type="spellStart"/>
      <w:r w:rsidRPr="004F6572">
        <w:rPr>
          <w:rFonts w:ascii="Arial" w:hAnsi="Arial" w:cs="Arial"/>
          <w:sz w:val="24"/>
          <w:szCs w:val="24"/>
        </w:rPr>
        <w:t>Братеево</w:t>
      </w:r>
      <w:proofErr w:type="spellEnd"/>
      <w:r w:rsidRPr="004F6572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4F6572">
        <w:rPr>
          <w:rFonts w:ascii="Arial" w:hAnsi="Arial" w:cs="Arial"/>
          <w:sz w:val="24"/>
          <w:szCs w:val="24"/>
        </w:rPr>
        <w:t xml:space="preserve">Москвы  и определялся НП=1-6%, СИ=1. Наибольшие значения показателей загрязнения воздуха фенолом  отмечались в районе «Нагорный» (вблизи </w:t>
      </w:r>
      <w:proofErr w:type="spellStart"/>
      <w:r w:rsidRPr="004F6572">
        <w:rPr>
          <w:rFonts w:ascii="Arial" w:hAnsi="Arial" w:cs="Arial"/>
          <w:sz w:val="24"/>
          <w:szCs w:val="24"/>
        </w:rPr>
        <w:t>промзон</w:t>
      </w:r>
      <w:proofErr w:type="spellEnd"/>
      <w:r w:rsidRPr="004F65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«Верхние Котлы» и «</w:t>
      </w:r>
      <w:proofErr w:type="spellStart"/>
      <w:r>
        <w:rPr>
          <w:rFonts w:ascii="Arial" w:hAnsi="Arial" w:cs="Arial"/>
          <w:sz w:val="24"/>
          <w:szCs w:val="24"/>
        </w:rPr>
        <w:t>Нагатино</w:t>
      </w:r>
      <w:proofErr w:type="spellEnd"/>
      <w:r>
        <w:rPr>
          <w:rFonts w:ascii="Arial" w:hAnsi="Arial" w:cs="Arial"/>
          <w:sz w:val="24"/>
          <w:szCs w:val="24"/>
        </w:rPr>
        <w:t xml:space="preserve">»): </w:t>
      </w:r>
      <w:r w:rsidRPr="004F6572">
        <w:rPr>
          <w:rFonts w:ascii="Arial" w:hAnsi="Arial" w:cs="Arial"/>
          <w:sz w:val="24"/>
          <w:szCs w:val="24"/>
        </w:rPr>
        <w:t>максимальная разовая концентрация состав</w:t>
      </w:r>
      <w:r>
        <w:rPr>
          <w:rFonts w:ascii="Arial" w:hAnsi="Arial" w:cs="Arial"/>
          <w:sz w:val="24"/>
          <w:szCs w:val="24"/>
        </w:rPr>
        <w:t>ля</w:t>
      </w:r>
      <w:r w:rsidRPr="004F6572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6572">
        <w:rPr>
          <w:rFonts w:ascii="Arial" w:hAnsi="Arial" w:cs="Arial"/>
          <w:sz w:val="24"/>
          <w:szCs w:val="24"/>
          <w:vertAlign w:val="subscript"/>
        </w:rPr>
        <w:t>.,</w:t>
      </w:r>
      <w:r w:rsidRPr="004F6572">
        <w:rPr>
          <w:rFonts w:ascii="Arial" w:hAnsi="Arial" w:cs="Arial"/>
          <w:sz w:val="24"/>
          <w:szCs w:val="24"/>
        </w:rPr>
        <w:t xml:space="preserve"> наибольшая повторяемость превышений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6572">
        <w:rPr>
          <w:rFonts w:ascii="Arial" w:hAnsi="Arial" w:cs="Arial"/>
          <w:sz w:val="24"/>
          <w:szCs w:val="24"/>
          <w:vertAlign w:val="subscript"/>
        </w:rPr>
        <w:t>.</w:t>
      </w:r>
      <w:r w:rsidRPr="004F6572">
        <w:rPr>
          <w:rFonts w:ascii="Arial" w:hAnsi="Arial" w:cs="Arial"/>
          <w:sz w:val="24"/>
          <w:szCs w:val="24"/>
        </w:rPr>
        <w:t xml:space="preserve"> - 6%. Среднемесячная концентрация фенола**</w:t>
      </w:r>
      <w:r>
        <w:rPr>
          <w:rFonts w:ascii="Arial" w:hAnsi="Arial" w:cs="Arial"/>
          <w:sz w:val="24"/>
          <w:szCs w:val="24"/>
        </w:rPr>
        <w:t xml:space="preserve">*** </w:t>
      </w:r>
      <w:r w:rsidRPr="004F6572">
        <w:rPr>
          <w:rFonts w:ascii="Arial" w:hAnsi="Arial" w:cs="Arial"/>
          <w:sz w:val="24"/>
          <w:szCs w:val="24"/>
        </w:rPr>
        <w:t>в целом по городу состав</w:t>
      </w:r>
      <w:r>
        <w:rPr>
          <w:rFonts w:ascii="Arial" w:hAnsi="Arial" w:cs="Arial"/>
          <w:sz w:val="24"/>
          <w:szCs w:val="24"/>
        </w:rPr>
        <w:t>ля</w:t>
      </w:r>
      <w:r w:rsidRPr="004F6572">
        <w:rPr>
          <w:rFonts w:ascii="Arial" w:hAnsi="Arial" w:cs="Arial"/>
          <w:sz w:val="24"/>
          <w:szCs w:val="24"/>
        </w:rPr>
        <w:t>ла 0,001 мг/м</w:t>
      </w:r>
      <w:r w:rsidRPr="004F6572">
        <w:rPr>
          <w:rFonts w:ascii="Arial" w:hAnsi="Arial" w:cs="Arial"/>
          <w:sz w:val="24"/>
          <w:szCs w:val="24"/>
          <w:vertAlign w:val="superscript"/>
        </w:rPr>
        <w:t>3</w:t>
      </w:r>
      <w:r w:rsidRPr="004F6572">
        <w:rPr>
          <w:rFonts w:ascii="Arial" w:hAnsi="Arial" w:cs="Arial"/>
          <w:sz w:val="24"/>
          <w:szCs w:val="24"/>
        </w:rPr>
        <w:t>, что с учетом нового и прежнего норматива не превышает ПДК.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</w:t>
      </w:r>
      <w:r w:rsidRPr="004F6572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4F6572">
        <w:rPr>
          <w:rFonts w:ascii="Arial" w:hAnsi="Arial" w:cs="Arial"/>
          <w:b/>
          <w:sz w:val="24"/>
          <w:szCs w:val="24"/>
        </w:rPr>
        <w:t>*</w:t>
      </w:r>
      <w:r w:rsidRPr="004F6572">
        <w:rPr>
          <w:rFonts w:ascii="Arial" w:hAnsi="Arial" w:cs="Arial"/>
          <w:sz w:val="24"/>
          <w:szCs w:val="24"/>
        </w:rPr>
        <w:t xml:space="preserve"> был зарегистрирован 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4F6572">
        <w:rPr>
          <w:rFonts w:ascii="Arial" w:hAnsi="Arial" w:cs="Arial"/>
          <w:sz w:val="24"/>
          <w:szCs w:val="24"/>
        </w:rPr>
        <w:t>Москвы (район «Дмитровский») и определялся НП=2%, СИ=1.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В Северо-Восточном, Западном, Восточном, Юго-Восточном</w:t>
      </w:r>
      <w:r>
        <w:rPr>
          <w:rFonts w:ascii="Arial" w:hAnsi="Arial" w:cs="Arial"/>
          <w:sz w:val="24"/>
          <w:szCs w:val="24"/>
        </w:rPr>
        <w:t xml:space="preserve"> и</w:t>
      </w:r>
      <w:r w:rsidRPr="004F6572">
        <w:rPr>
          <w:rFonts w:ascii="Arial" w:hAnsi="Arial" w:cs="Arial"/>
          <w:sz w:val="24"/>
          <w:szCs w:val="24"/>
        </w:rPr>
        <w:t xml:space="preserve"> Северо-Западном административн</w:t>
      </w:r>
      <w:r>
        <w:rPr>
          <w:rFonts w:ascii="Arial" w:hAnsi="Arial" w:cs="Arial"/>
          <w:sz w:val="24"/>
          <w:szCs w:val="24"/>
        </w:rPr>
        <w:t>ых</w:t>
      </w:r>
      <w:r w:rsidRPr="004F6572">
        <w:rPr>
          <w:rFonts w:ascii="Arial" w:hAnsi="Arial" w:cs="Arial"/>
          <w:sz w:val="24"/>
          <w:szCs w:val="24"/>
        </w:rPr>
        <w:t xml:space="preserve"> округ</w:t>
      </w:r>
      <w:r>
        <w:rPr>
          <w:rFonts w:ascii="Arial" w:hAnsi="Arial" w:cs="Arial"/>
          <w:sz w:val="24"/>
          <w:szCs w:val="24"/>
        </w:rPr>
        <w:t>ах</w:t>
      </w:r>
      <w:r w:rsidRPr="004F6572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4F6572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4F6572">
        <w:rPr>
          <w:rFonts w:ascii="Arial" w:hAnsi="Arial" w:cs="Arial"/>
          <w:sz w:val="24"/>
          <w:szCs w:val="24"/>
        </w:rPr>
        <w:t>.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>В октябре в целом по городу среднемесячная концентрации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4F6572">
        <w:rPr>
          <w:rFonts w:ascii="Arial" w:hAnsi="Arial" w:cs="Arial"/>
          <w:sz w:val="24"/>
          <w:szCs w:val="24"/>
        </w:rPr>
        <w:t>ла 0,008 мг/м</w:t>
      </w:r>
      <w:r w:rsidRPr="004F6572">
        <w:rPr>
          <w:rFonts w:ascii="Arial" w:hAnsi="Arial" w:cs="Arial"/>
          <w:sz w:val="24"/>
          <w:szCs w:val="24"/>
          <w:vertAlign w:val="superscript"/>
        </w:rPr>
        <w:t>3</w:t>
      </w:r>
      <w:r w:rsidRPr="004F6572">
        <w:rPr>
          <w:rFonts w:ascii="Arial" w:hAnsi="Arial" w:cs="Arial"/>
          <w:sz w:val="24"/>
          <w:szCs w:val="24"/>
        </w:rPr>
        <w:t xml:space="preserve"> (0,8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4F657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4F6572">
        <w:rPr>
          <w:rFonts w:ascii="Arial" w:hAnsi="Arial" w:cs="Arial"/>
          <w:sz w:val="24"/>
          <w:szCs w:val="24"/>
        </w:rPr>
        <w:t>максимальная разовая концентрация достигала 0,054  мг/м</w:t>
      </w:r>
      <w:r w:rsidRPr="004F6572">
        <w:rPr>
          <w:rFonts w:ascii="Arial" w:hAnsi="Arial" w:cs="Arial"/>
          <w:sz w:val="24"/>
          <w:szCs w:val="24"/>
          <w:vertAlign w:val="superscript"/>
        </w:rPr>
        <w:t>3</w:t>
      </w:r>
      <w:r w:rsidRPr="004F6572">
        <w:rPr>
          <w:rFonts w:ascii="Arial" w:hAnsi="Arial" w:cs="Arial"/>
          <w:sz w:val="24"/>
          <w:szCs w:val="24"/>
        </w:rPr>
        <w:t xml:space="preserve"> (1,1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6572">
        <w:rPr>
          <w:rFonts w:ascii="Arial" w:hAnsi="Arial" w:cs="Arial"/>
          <w:sz w:val="24"/>
          <w:szCs w:val="24"/>
          <w:vertAlign w:val="subscript"/>
        </w:rPr>
        <w:t>.</w:t>
      </w:r>
      <w:r w:rsidRPr="004F6572">
        <w:rPr>
          <w:rFonts w:ascii="Arial" w:hAnsi="Arial" w:cs="Arial"/>
          <w:sz w:val="24"/>
          <w:szCs w:val="24"/>
        </w:rPr>
        <w:t>), наибольшая повторяемость превышений ПДК – 2%. Оценивая состояние загрязнения атмосферного воздуха формальдегидом с учетом прежних ПДК, средняя за октябрь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4F6572">
        <w:rPr>
          <w:rFonts w:ascii="Arial" w:hAnsi="Arial" w:cs="Arial"/>
          <w:sz w:val="24"/>
          <w:szCs w:val="24"/>
        </w:rPr>
        <w:t xml:space="preserve">ла 2,7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4F6572">
        <w:rPr>
          <w:rFonts w:ascii="Arial" w:hAnsi="Arial" w:cs="Arial"/>
          <w:sz w:val="24"/>
          <w:szCs w:val="24"/>
          <w:vertAlign w:val="subscript"/>
        </w:rPr>
        <w:t>.</w:t>
      </w:r>
      <w:r w:rsidRPr="004F6572">
        <w:rPr>
          <w:rFonts w:ascii="Arial" w:hAnsi="Arial" w:cs="Arial"/>
          <w:sz w:val="24"/>
          <w:szCs w:val="24"/>
        </w:rPr>
        <w:t xml:space="preserve">, а максимальная разовая концентрация – 1,5 </w:t>
      </w:r>
      <w:proofErr w:type="spellStart"/>
      <w:r w:rsidRPr="004F6572">
        <w:rPr>
          <w:rFonts w:ascii="Arial" w:hAnsi="Arial" w:cs="Arial"/>
          <w:sz w:val="24"/>
          <w:szCs w:val="24"/>
        </w:rPr>
        <w:t>ПДК</w:t>
      </w:r>
      <w:r w:rsidRPr="004F65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6572">
        <w:rPr>
          <w:rFonts w:ascii="Arial" w:hAnsi="Arial" w:cs="Arial"/>
          <w:sz w:val="24"/>
          <w:szCs w:val="24"/>
          <w:vertAlign w:val="subscript"/>
        </w:rPr>
        <w:t xml:space="preserve">. </w:t>
      </w:r>
      <w:r w:rsidRPr="004F6572">
        <w:rPr>
          <w:rFonts w:ascii="Arial" w:hAnsi="Arial" w:cs="Arial"/>
          <w:sz w:val="24"/>
          <w:szCs w:val="24"/>
        </w:rPr>
        <w:t>Наибольшая повторяемость превышений ПДК с учетом прежнего норматива – 3%. Таким образом, уровень загрязнения атмосферного воздуха формальдегидом с учетом  прежних и новых  ПДК оценива</w:t>
      </w:r>
      <w:r>
        <w:rPr>
          <w:rFonts w:ascii="Arial" w:hAnsi="Arial" w:cs="Arial"/>
          <w:sz w:val="24"/>
          <w:szCs w:val="24"/>
        </w:rPr>
        <w:t>л</w:t>
      </w:r>
      <w:r w:rsidRPr="004F6572">
        <w:rPr>
          <w:rFonts w:ascii="Arial" w:hAnsi="Arial" w:cs="Arial"/>
          <w:sz w:val="24"/>
          <w:szCs w:val="24"/>
        </w:rPr>
        <w:t xml:space="preserve">ся как повышенный. 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7FEC" w:rsidRPr="003B3F23" w:rsidRDefault="00B17FEC" w:rsidP="00B17FE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B17FEC" w:rsidRPr="00211F19" w:rsidRDefault="00B17FEC" w:rsidP="00B17F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 xml:space="preserve">*****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B17FEC" w:rsidRPr="001722E6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1722E6">
        <w:rPr>
          <w:rFonts w:ascii="Arial" w:hAnsi="Arial" w:cs="Arial"/>
          <w:sz w:val="24"/>
          <w:szCs w:val="24"/>
        </w:rPr>
        <w:tab/>
      </w:r>
    </w:p>
    <w:p w:rsidR="00B17FEC" w:rsidRPr="00D75305" w:rsidRDefault="00B17FEC" w:rsidP="00B17FEC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B17FEC" w:rsidRPr="004F65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6572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октябре </w:t>
      </w:r>
      <w:r>
        <w:rPr>
          <w:rFonts w:ascii="Arial" w:hAnsi="Arial" w:cs="Arial"/>
          <w:sz w:val="24"/>
          <w:szCs w:val="24"/>
        </w:rPr>
        <w:t xml:space="preserve">  </w:t>
      </w:r>
      <w:r w:rsidRPr="004F6572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4F6572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4F657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B17FEC" w:rsidRDefault="00B17FEC" w:rsidP="00B17FEC">
      <w:pPr>
        <w:spacing w:after="0"/>
        <w:ind w:firstLine="708"/>
        <w:jc w:val="both"/>
      </w:pPr>
    </w:p>
    <w:p w:rsidR="00B17FEC" w:rsidRDefault="00B17FEC" w:rsidP="00B17FEC">
      <w:pPr>
        <w:ind w:firstLine="708"/>
        <w:jc w:val="both"/>
      </w:pPr>
    </w:p>
    <w:p w:rsidR="00B17FEC" w:rsidRPr="00657E4D" w:rsidRDefault="00B17FEC" w:rsidP="00B17FEC">
      <w:pPr>
        <w:jc w:val="center"/>
      </w:pPr>
      <w:r>
        <w:rPr>
          <w:noProof/>
        </w:rPr>
      </w:r>
      <w:r>
        <w:pict>
          <v:group id="_x0000_s1026" editas="canvas" style="width:363.8pt;height:234.7pt;mso-position-horizontal-relative:char;mso-position-vertical-relative:line" coordsize="7276,46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276;height:4694" o:preferrelative="f">
              <v:fill o:detectmouseclick="t"/>
              <v:path o:extrusionok="t" o:connecttype="none"/>
              <o:lock v:ext="edit" text="t"/>
            </v:shape>
            <v:rect id="_x0000_s1028" style="position:absolute;left:61;top:61;width:7018;height:4525" stroked="f"/>
            <v:rect id="_x0000_s1029" style="position:absolute;left:707;top:195;width:5409;height:3601" stroked="f"/>
            <v:rect id="_x0000_s1030" style="position:absolute;left:707;top:195;width:5409;height:3601" filled="f" stroked="f"/>
            <v:line id="_x0000_s1031" style="position:absolute" from="707,2591" to="6116,2592" strokecolor="white" strokeweight="0"/>
            <v:line id="_x0000_s1032" style="position:absolute" from="707,1399" to="6116,1400" strokecolor="white" strokeweight="0"/>
            <v:line id="_x0000_s1033" style="position:absolute" from="707,195" to="6116,196" strokecolor="white" strokeweight="0"/>
            <v:rect id="_x0000_s1034" style="position:absolute;left:707;top:195;width:5409;height:3601" filled="f" strokecolor="gray" strokeweight=".6pt"/>
            <v:shape id="_x0000_s1035" type="#_x0000_t75" style="position:absolute;left:1011;top:560;width:695;height:3236">
              <v:imagedata r:id="rId5" o:title=""/>
            </v:shape>
            <v:rect id="_x0000_s1036" style="position:absolute;left:1011;top:560;width:695;height:3236" filled="f" strokeweight=".6pt"/>
            <v:shape id="_x0000_s1037" type="#_x0000_t75" style="position:absolute;left:3716;top:2835;width:695;height:961">
              <v:imagedata r:id="rId6" o:title=""/>
            </v:shape>
            <v:rect id="_x0000_s1038" style="position:absolute;left:3716;top:2835;width:695;height:961" filled="f" strokeweight=".6pt"/>
            <v:shape id="_x0000_s1039" type="#_x0000_t75" style="position:absolute;left:2400;top:1995;width:695;height:1801">
              <v:imagedata r:id="rId7" o:title=""/>
            </v:shape>
            <v:rect id="_x0000_s1040" style="position:absolute;left:2400;top:1995;width:695;height:1801" filled="f" strokeweight=".6pt"/>
            <v:shape id="_x0000_s1041" type="#_x0000_t75" style="position:absolute;left:5105;top:2470;width:695;height:1326">
              <v:imagedata r:id="rId8" o:title=""/>
            </v:shape>
            <v:rect id="_x0000_s1042" style="position:absolute;left:5105;top:2470;width:695;height:1326" filled="f" strokeweight=".6pt"/>
            <v:shape id="_x0000_s1043" type="#_x0000_t75" style="position:absolute;left:1754;top:499;width:610;height:3297">
              <v:imagedata r:id="rId9" o:title=""/>
            </v:shape>
            <v:rect id="_x0000_s1044" style="position:absolute;left:1754;top:499;width:610;height:3297" filled="f" strokeweight=".6pt"/>
            <v:shape id="_x0000_s1045" type="#_x0000_t75" style="position:absolute;left:4459;top:2153;width:609;height:1643">
              <v:imagedata r:id="rId10" o:title=""/>
            </v:shape>
            <v:rect id="_x0000_s1046" style="position:absolute;left:4459;top:2153;width:609;height:1643" filled="f" strokeweight=".6pt"/>
            <v:line id="_x0000_s1047" style="position:absolute" from="707,195" to="708,3796" strokeweight="0"/>
            <v:line id="_x0000_s1048" style="position:absolute" from="658,3796" to="707,3797" strokeweight="0"/>
            <v:line id="_x0000_s1049" style="position:absolute" from="658,2591" to="707,2592" strokeweight="0"/>
            <v:line id="_x0000_s1050" style="position:absolute" from="658,1399" to="707,1400" strokeweight="0"/>
            <v:line id="_x0000_s1051" style="position:absolute" from="658,195" to="707,196" strokeweight="0"/>
            <v:line id="_x0000_s1052" style="position:absolute" from="707,3796" to="6116,3797" strokeweight="0"/>
            <v:line id="_x0000_s1053" style="position:absolute;flip:y" from="707,3796" to="708,3832" strokeweight="0"/>
            <v:line id="_x0000_s1054" style="position:absolute;flip:y" from="3411,3796" to="3412,3832" strokeweight="0"/>
            <v:line id="_x0000_s1055" style="position:absolute;flip:y" from="6116,3796" to="6117,3832" strokeweight="0"/>
            <v:line id="_x0000_s1056" style="position:absolute" from="6116,195" to="6117,3796" strokeweight="0"/>
            <v:line id="_x0000_s1057" style="position:absolute" from="6068,3796" to="6165,3797" strokeweight="0"/>
            <v:line id="_x0000_s1058" style="position:absolute" from="6068,3285" to="6165,3286" strokeweight="0"/>
            <v:line id="_x0000_s1059" style="position:absolute" from="6068,2762" to="6165,2763" strokeweight="0"/>
            <v:line id="_x0000_s1060" style="position:absolute" from="6068,2251" to="6165,2252" strokeweight="0"/>
            <v:line id="_x0000_s1061" style="position:absolute" from="6068,1740" to="6165,1741" strokeweight="0"/>
            <v:line id="_x0000_s1062" style="position:absolute" from="6068,1229" to="6165,1230" strokeweight="0"/>
            <v:line id="_x0000_s1063" style="position:absolute" from="6068,706" to="6165,707" strokeweight="0"/>
            <v:line id="_x0000_s1064" style="position:absolute" from="6068,195" to="6165,196" strokeweight="0"/>
            <v:rect id="_x0000_s1065" style="position:absolute;left:1257;top:1785;width:602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6" style="position:absolute;left:3963;top:2915;width:602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7" style="position:absolute;left:5138;top:2700;width:1030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8" style="position:absolute;left:2433;top:2470;width:1030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9" style="position:absolute;left:4870;top:2595;width:202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0" style="position:absolute;left:2164;top:1767;width:202;height:580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1" style="position:absolute;left:500;top:3698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2" style="position:absolute;left:500;top:2494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3" style="position:absolute;left:500;top:1302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4" style="position:absolute;left:500;top:97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75" style="position:absolute;left:1645;top:3905;width:937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6" style="position:absolute;left:4179;top:3905;width:795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Новые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7" style="position:absolute;left:-658;top:1590;width:2161;height:417;rotation:270" filled="f" stroked="f">
              <v:textbox style="layout-flow:vertical;mso-layout-flow-alt:bottom-to-top;mso-fit-shape-to-text:t" inset="0,0,0,0">
                <w:txbxContent>
                  <w:p w:rsidR="00B17FEC" w:rsidRPr="00CC5872" w:rsidRDefault="00B17FEC" w:rsidP="00B17FE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5872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 w:rsidRPr="00CC5872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Pr="00CC5872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 w:rsidRPr="00CC5872"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8" style="position:absolute;left:6238;top:3698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9" style="position:absolute;left:6238;top:3187;width:195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80" style="position:absolute;left:6238;top:2664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1" style="position:absolute;left:6238;top:2153;width:195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82" style="position:absolute;left:6238;top:1642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3" style="position:absolute;left:6238;top:1131;width:195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84" style="position:absolute;left:6238;top:608;width:78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5" style="position:absolute;left:6238;top:97;width:195;height:385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3,5</w:t>
                    </w:r>
                  </w:p>
                </w:txbxContent>
              </v:textbox>
            </v:rect>
            <v:rect id="_x0000_s1086" style="position:absolute;left:6728;top:1575;width:462;height:635;rotation:270;mso-wrap-style:none" filled="f" stroked="f">
              <v:textbox style="layout-flow:vertical;mso-layout-flow-alt:bottom-to-top;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НП, %</w:t>
                    </w:r>
                  </w:p>
                </w:txbxContent>
              </v:textbox>
            </v:rect>
            <v:rect id="_x0000_s1087" style="position:absolute;left:2169;top:4246;width:2778;height:280" strokeweight="0"/>
            <v:shape id="_x0000_s1088" type="#_x0000_t75" style="position:absolute;left:2230;top:4343;width:85;height:85">
              <v:imagedata r:id="rId11" o:title=""/>
            </v:shape>
            <v:rect id="_x0000_s1089" style="position:absolute;left:2230;top:4343;width:85;height:85" filled="f" strokeweight=".6pt"/>
            <v:rect id="_x0000_s1090" style="position:absolute;left:2364;top:4282;width:688;height:412;mso-wrap-style:none" filled="f" stroked="f">
              <v:textbox style="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1" type="#_x0000_t75" style="position:absolute;left:3131;top:4343;width:86;height:85">
              <v:imagedata r:id="rId12" o:title=""/>
            </v:shape>
            <v:rect id="_x0000_s1092" style="position:absolute;left:3131;top:4343;width:86;height:85" filled="f" strokeweight=".6pt"/>
            <v:rect id="_x0000_s1093" style="position:absolute;left:3265;top:4282;width:1177;height:412;mso-wrap-style:none" filled="f" stroked="f">
              <v:textbox style="mso-fit-shape-to-text:t" inset="0,0,0,0">
                <w:txbxContent>
                  <w:p w:rsidR="00B17FEC" w:rsidRDefault="00B17FEC" w:rsidP="00B17FE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094" type="#_x0000_t75" style="position:absolute;left:4532;top:4343;width:86;height:85">
              <v:imagedata r:id="rId13" o:title=""/>
            </v:shape>
            <v:rect id="_x0000_s1095" style="position:absolute;left:4532;top:4343;width:86;height:85" filled="f" strokeweight=".6pt"/>
            <v:rect id="_x0000_s1096" style="position:absolute;left:4666;top:4282;width:231;height:412;mso-wrap-style:none" filled="f" stroked="f">
              <v:textbox style="mso-fit-shape-to-text:t" inset="0,0,0,0">
                <w:txbxContent>
                  <w:p w:rsidR="00B17FEC" w:rsidRDefault="00B17FEC" w:rsidP="00B17FE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B17FEC" w:rsidRPr="004F6572" w:rsidRDefault="00B17FEC" w:rsidP="00B17FE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4F6572">
        <w:rPr>
          <w:rFonts w:ascii="Arial" w:hAnsi="Arial" w:cs="Arial"/>
          <w:b/>
          <w:sz w:val="20"/>
          <w:szCs w:val="20"/>
        </w:rPr>
        <w:t>Рисунок 1.</w:t>
      </w:r>
      <w:r w:rsidRPr="004F6572">
        <w:rPr>
          <w:rFonts w:ascii="Arial" w:hAnsi="Arial" w:cs="Arial"/>
          <w:b/>
          <w:i/>
          <w:sz w:val="20"/>
          <w:szCs w:val="20"/>
        </w:rPr>
        <w:t xml:space="preserve"> </w:t>
      </w:r>
      <w:r w:rsidRPr="004F6572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октябре 2015 года  </w:t>
      </w:r>
    </w:p>
    <w:p w:rsidR="00B17FEC" w:rsidRPr="004F6572" w:rsidRDefault="00B17FEC" w:rsidP="00B17FE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4F657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4F6572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B17FEC" w:rsidRDefault="00B17FEC" w:rsidP="00B17FEC">
      <w:pPr>
        <w:spacing w:after="0"/>
        <w:ind w:firstLine="708"/>
        <w:jc w:val="both"/>
      </w:pPr>
    </w:p>
    <w:p w:rsidR="00B17FEC" w:rsidRDefault="00B17FEC" w:rsidP="00B17FEC">
      <w:pPr>
        <w:spacing w:after="0"/>
        <w:ind w:firstLine="708"/>
        <w:jc w:val="both"/>
      </w:pPr>
    </w:p>
    <w:p w:rsidR="00B17FEC" w:rsidRDefault="00B17FEC" w:rsidP="00B17FEC">
      <w:pPr>
        <w:spacing w:after="0"/>
        <w:ind w:firstLine="708"/>
        <w:jc w:val="both"/>
      </w:pPr>
    </w:p>
    <w:p w:rsidR="00B17FEC" w:rsidRPr="00861BC0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1BC0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861BC0">
        <w:rPr>
          <w:rFonts w:ascii="Arial" w:hAnsi="Arial" w:cs="Arial"/>
          <w:sz w:val="24"/>
          <w:szCs w:val="24"/>
        </w:rPr>
        <w:t xml:space="preserve">ла 1,5 </w:t>
      </w:r>
      <w:proofErr w:type="spellStart"/>
      <w:r w:rsidRPr="00861BC0">
        <w:rPr>
          <w:rFonts w:ascii="Arial" w:hAnsi="Arial" w:cs="Arial"/>
          <w:sz w:val="24"/>
          <w:szCs w:val="24"/>
        </w:rPr>
        <w:t>ПДК</w:t>
      </w:r>
      <w:r w:rsidRPr="00861BC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61BC0">
        <w:rPr>
          <w:rFonts w:ascii="Arial" w:hAnsi="Arial" w:cs="Arial"/>
          <w:sz w:val="24"/>
          <w:szCs w:val="24"/>
          <w:vertAlign w:val="subscript"/>
        </w:rPr>
        <w:t>.</w:t>
      </w:r>
      <w:r w:rsidRPr="00861BC0">
        <w:rPr>
          <w:rFonts w:ascii="Arial" w:hAnsi="Arial" w:cs="Arial"/>
          <w:sz w:val="24"/>
          <w:szCs w:val="24"/>
        </w:rPr>
        <w:t>, других определяемых загрязняющих веществ – не превышал</w:t>
      </w:r>
      <w:r>
        <w:rPr>
          <w:rFonts w:ascii="Arial" w:hAnsi="Arial" w:cs="Arial"/>
          <w:sz w:val="24"/>
          <w:szCs w:val="24"/>
        </w:rPr>
        <w:t>а</w:t>
      </w:r>
      <w:r w:rsidRPr="0086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1BC0">
        <w:rPr>
          <w:rFonts w:ascii="Arial" w:hAnsi="Arial" w:cs="Arial"/>
          <w:sz w:val="24"/>
          <w:szCs w:val="24"/>
        </w:rPr>
        <w:t>ПДК</w:t>
      </w:r>
      <w:r w:rsidRPr="00861BC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861BC0">
        <w:rPr>
          <w:rFonts w:ascii="Arial" w:hAnsi="Arial" w:cs="Arial"/>
          <w:sz w:val="24"/>
          <w:szCs w:val="24"/>
          <w:vertAlign w:val="subscript"/>
        </w:rPr>
        <w:t>.</w:t>
      </w:r>
      <w:r w:rsidRPr="00861BC0">
        <w:rPr>
          <w:rFonts w:ascii="Arial" w:hAnsi="Arial" w:cs="Arial"/>
          <w:sz w:val="24"/>
          <w:szCs w:val="24"/>
        </w:rPr>
        <w:t>.</w:t>
      </w:r>
    </w:p>
    <w:p w:rsidR="00B17FEC" w:rsidRPr="00C71A72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октябре 2015 года в целом была стабильной и находилась в пределах радиационного фона.</w:t>
      </w:r>
    </w:p>
    <w:p w:rsidR="00B17FEC" w:rsidRDefault="00B17FEC" w:rsidP="00B17F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B17FEC" w:rsidRDefault="00B17FEC" w:rsidP="00B17F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в трех случаях в двух населенных пунктах: в г. Магадане в период со   2 по 4 октября (превышение фона составляло от 5 до 7 раз) и г. Уяр Красноярского края в период с 12 по 13 октября (превышение фона составляло  10 раз).</w:t>
      </w:r>
    </w:p>
    <w:p w:rsidR="00B17FEC" w:rsidRPr="0091307F" w:rsidRDefault="00B17FEC" w:rsidP="00B17F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B17FEC" w:rsidRDefault="00B17FEC" w:rsidP="00B17F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6C2824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6C2824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5 до 28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B17FEC" w:rsidRDefault="00B17FEC" w:rsidP="00B17FE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B17FEC" w:rsidRDefault="00B17FEC" w:rsidP="00B17FE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17FEC" w:rsidRPr="004A44DD" w:rsidRDefault="00B17FEC" w:rsidP="00B17FEC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A44DD">
        <w:rPr>
          <w:rFonts w:ascii="Arial" w:hAnsi="Arial" w:cs="Arial"/>
          <w:szCs w:val="24"/>
        </w:rPr>
        <w:t>Направляется в порядке информации.</w:t>
      </w:r>
    </w:p>
    <w:p w:rsidR="00B17FEC" w:rsidRPr="004A44DD" w:rsidRDefault="00B17FEC" w:rsidP="00B17FEC">
      <w:pPr>
        <w:pStyle w:val="a3"/>
        <w:ind w:firstLine="709"/>
        <w:rPr>
          <w:rFonts w:ascii="Arial" w:hAnsi="Arial" w:cs="Arial"/>
          <w:szCs w:val="24"/>
        </w:rPr>
      </w:pPr>
    </w:p>
    <w:p w:rsidR="00B17FEC" w:rsidRPr="004A44DD" w:rsidRDefault="00B17FEC" w:rsidP="00B17FEC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10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B17FEC" w:rsidRPr="004A44DD" w:rsidRDefault="00B17FEC" w:rsidP="00B17F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17FEC" w:rsidRPr="004A44DD" w:rsidRDefault="00B17FEC" w:rsidP="00B17FE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4E007C" w:rsidRDefault="004E007C">
      <w:pPr>
        <w:rPr>
          <w:rFonts w:ascii="Arial" w:hAnsi="Arial" w:cs="Arial"/>
          <w:sz w:val="20"/>
          <w:szCs w:val="20"/>
        </w:rPr>
      </w:pPr>
    </w:p>
    <w:p w:rsidR="00B17FEC" w:rsidRDefault="00B17FEC">
      <w:pPr>
        <w:rPr>
          <w:rFonts w:ascii="Arial" w:hAnsi="Arial" w:cs="Arial"/>
          <w:sz w:val="20"/>
          <w:szCs w:val="20"/>
        </w:rPr>
      </w:pPr>
    </w:p>
    <w:p w:rsidR="00B17FEC" w:rsidRPr="000E6DB4" w:rsidRDefault="00B17FEC" w:rsidP="00B17FEC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B17FEC" w:rsidRPr="000E6DB4" w:rsidRDefault="00B17FEC" w:rsidP="00B17FEC">
      <w:pPr>
        <w:spacing w:line="240" w:lineRule="auto"/>
        <w:rPr>
          <w:rFonts w:ascii="Arial" w:hAnsi="Arial" w:cs="Arial"/>
          <w:sz w:val="24"/>
          <w:szCs w:val="24"/>
        </w:rPr>
      </w:pPr>
    </w:p>
    <w:p w:rsidR="00B17FEC" w:rsidRDefault="00B17FEC" w:rsidP="00B17FEC">
      <w:pPr>
        <w:spacing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line="240" w:lineRule="auto"/>
        <w:rPr>
          <w:rFonts w:ascii="Arial" w:hAnsi="Arial" w:cs="Arial"/>
          <w:sz w:val="24"/>
          <w:szCs w:val="24"/>
        </w:rPr>
      </w:pPr>
    </w:p>
    <w:p w:rsidR="00B17FEC" w:rsidRDefault="00B17FEC" w:rsidP="000515EA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0E6DB4">
        <w:rPr>
          <w:rFonts w:ascii="Arial" w:hAnsi="Arial" w:cs="Arial"/>
        </w:rPr>
        <w:t>е 2015 года</w:t>
      </w:r>
    </w:p>
    <w:p w:rsidR="00B17FEC" w:rsidRPr="000E6DB4" w:rsidRDefault="00B17FEC" w:rsidP="00B17FEC">
      <w:pPr>
        <w:pStyle w:val="a3"/>
        <w:rPr>
          <w:rFonts w:ascii="Arial" w:hAnsi="Arial" w:cs="Arial"/>
        </w:rPr>
      </w:pPr>
    </w:p>
    <w:p w:rsidR="00B17FEC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2"/>
        <w:gridCol w:w="2213"/>
        <w:gridCol w:w="2183"/>
        <w:gridCol w:w="2460"/>
        <w:gridCol w:w="1811"/>
      </w:tblGrid>
      <w:tr w:rsidR="00B17FEC" w:rsidRPr="006534FD" w:rsidTr="0051476A">
        <w:trPr>
          <w:cantSplit/>
          <w:trHeight w:val="28"/>
          <w:tblHeader/>
        </w:trPr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6534F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17FEC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34FD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17FEC" w:rsidRPr="006534FD" w:rsidTr="0051476A">
        <w:trPr>
          <w:cantSplit/>
        </w:trPr>
        <w:tc>
          <w:tcPr>
            <w:tcW w:w="9469" w:type="dxa"/>
            <w:gridSpan w:val="5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6534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6534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6534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6534FD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р. Хор, п. Хор</w:t>
            </w:r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r w:rsidRPr="006534FD">
              <w:rPr>
                <w:rFonts w:ascii="Arial" w:hAnsi="Arial" w:cs="Arial"/>
                <w:sz w:val="24"/>
                <w:szCs w:val="24"/>
              </w:rPr>
              <w:t>винц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17FEC" w:rsidRPr="006534FD" w:rsidTr="0051476A">
        <w:trPr>
          <w:cantSplit/>
        </w:trPr>
        <w:tc>
          <w:tcPr>
            <w:tcW w:w="9469" w:type="dxa"/>
            <w:gridSpan w:val="5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Кия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Переясл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вка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17FEC" w:rsidRPr="00371FB2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Нимелен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с. Тимченко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6534FD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п. Горный</w:t>
            </w:r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B17FEC" w:rsidRPr="006534FD" w:rsidRDefault="00B17FEC" w:rsidP="005147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У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Многовершин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534F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534F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р. Хор, п. Хор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534FD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B17FEC" w:rsidRPr="006534FD" w:rsidTr="0051476A">
        <w:trPr>
          <w:cantSplit/>
        </w:trPr>
        <w:tc>
          <w:tcPr>
            <w:tcW w:w="9469" w:type="dxa"/>
            <w:gridSpan w:val="5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B17FEC" w:rsidRPr="00371FB2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371FB2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B17FEC" w:rsidRPr="00371FB2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371FB2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534FD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88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60" w:type="dxa"/>
          </w:tcPr>
          <w:p w:rsidR="00B17FEC" w:rsidRPr="001D4847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1D4847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Дачная,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0" w:type="dxa"/>
          </w:tcPr>
          <w:p w:rsidR="00B17FEC" w:rsidRPr="001D4847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D4847">
              <w:rPr>
                <w:rFonts w:ascii="Arial" w:hAnsi="Arial" w:cs="Arial"/>
                <w:sz w:val="24"/>
                <w:szCs w:val="24"/>
              </w:rPr>
              <w:t>БПК</w:t>
            </w:r>
            <w:r w:rsidRPr="001D484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17FEC" w:rsidRPr="001D4847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534F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60" w:type="dxa"/>
          </w:tcPr>
          <w:p w:rsidR="00B17FEC" w:rsidRPr="001D4847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0" w:type="dxa"/>
          </w:tcPr>
          <w:p w:rsidR="00B17FEC" w:rsidRPr="001D4847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Осиновка</w:t>
            </w:r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п. Осиновка</w:t>
            </w:r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6534FD">
              <w:rPr>
                <w:rFonts w:ascii="Arial" w:hAnsi="Arial" w:cs="Arial"/>
                <w:sz w:val="24"/>
                <w:szCs w:val="24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6534FD">
              <w:rPr>
                <w:rFonts w:ascii="Arial" w:hAnsi="Arial" w:cs="Arial"/>
                <w:sz w:val="24"/>
                <w:szCs w:val="24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</w:tcPr>
          <w:p w:rsidR="00B17FEC" w:rsidRPr="001D4847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504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1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Падовка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Смышляевка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0,3</w:t>
            </w:r>
            <w:r w:rsidRPr="006534F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13" w:type="dxa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г. Полевской,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1,5 км от устья 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B17FEC" w:rsidRPr="00956DD3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213" w:type="dxa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п. Горный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534FD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534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</w:rPr>
              <w:t>Старожиловка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60" w:type="dxa"/>
          </w:tcPr>
          <w:p w:rsidR="00B17FEC" w:rsidRPr="00956DD3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956DD3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213" w:type="dxa"/>
          </w:tcPr>
          <w:p w:rsidR="00B17FEC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1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83" w:type="dxa"/>
            <w:vMerge w:val="restart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  <w:vMerge w:val="restart"/>
          </w:tcPr>
          <w:p w:rsidR="00B17FEC" w:rsidRPr="00956DD3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  <w:vMerge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B17FEC" w:rsidRPr="006534FD" w:rsidTr="0051476A">
        <w:trPr>
          <w:cantSplit/>
        </w:trPr>
        <w:tc>
          <w:tcPr>
            <w:tcW w:w="802" w:type="dxa"/>
          </w:tcPr>
          <w:p w:rsidR="00B17FEC" w:rsidRPr="006534FD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1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534FD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83" w:type="dxa"/>
          </w:tcPr>
          <w:p w:rsidR="00B17FEC" w:rsidRPr="006534FD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534FD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B17FEC" w:rsidRPr="00956DD3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56DD3">
              <w:rPr>
                <w:rFonts w:ascii="Arial" w:hAnsi="Arial" w:cs="Arial"/>
                <w:sz w:val="24"/>
                <w:szCs w:val="24"/>
              </w:rPr>
              <w:t>БПК</w:t>
            </w:r>
            <w:r w:rsidRPr="00956D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17FEC" w:rsidRPr="00956DD3" w:rsidRDefault="00B17FEC" w:rsidP="005147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</w:tbl>
    <w:p w:rsidR="00B17FEC" w:rsidRDefault="00B17FEC" w:rsidP="00B17FEC">
      <w:pPr>
        <w:spacing w:after="0"/>
        <w:rPr>
          <w:lang w:val="en-US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B17FEC" w:rsidRPr="000E6DB4" w:rsidRDefault="00B17FEC" w:rsidP="00B17FEC">
      <w:pPr>
        <w:spacing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B17FEC" w:rsidRPr="000E6DB4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17FEC" w:rsidRDefault="00B17FEC" w:rsidP="00B17FEC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 w:rsidP="00B17FEC"/>
    <w:p w:rsidR="00B17FEC" w:rsidRDefault="00B17FEC"/>
    <w:p w:rsidR="00B17FEC" w:rsidRDefault="00B17FEC"/>
    <w:p w:rsidR="00B17FEC" w:rsidRDefault="00B17FEC"/>
    <w:p w:rsidR="00B17FEC" w:rsidRDefault="00B17FEC"/>
    <w:p w:rsidR="00B17FEC" w:rsidRDefault="00B17FEC"/>
    <w:p w:rsidR="00B17FEC" w:rsidRDefault="00B17FEC"/>
    <w:p w:rsidR="00B17FEC" w:rsidRDefault="00B17FEC"/>
    <w:p w:rsidR="00B17FEC" w:rsidRDefault="00B17FEC"/>
    <w:p w:rsidR="00B17FEC" w:rsidRPr="00845F6F" w:rsidRDefault="00B17FEC" w:rsidP="00B17FEC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B17FEC" w:rsidRDefault="00B17FEC" w:rsidP="00B17FEC">
      <w:pPr>
        <w:pStyle w:val="a3"/>
        <w:ind w:left="6372" w:firstLine="708"/>
        <w:rPr>
          <w:rFonts w:ascii="Arial" w:hAnsi="Arial" w:cs="Arial"/>
        </w:rPr>
      </w:pPr>
    </w:p>
    <w:p w:rsidR="00B17FEC" w:rsidRDefault="00B17FEC" w:rsidP="00B17FEC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845F6F">
        <w:rPr>
          <w:rFonts w:ascii="Arial" w:hAnsi="Arial" w:cs="Arial"/>
        </w:rPr>
        <w:t>е 2015 года</w:t>
      </w:r>
    </w:p>
    <w:p w:rsidR="00B17FEC" w:rsidRPr="00845F6F" w:rsidRDefault="00B17FEC" w:rsidP="00B17FEC">
      <w:pPr>
        <w:pStyle w:val="a3"/>
        <w:rPr>
          <w:rFonts w:ascii="Arial" w:hAnsi="Arial" w:cs="Arial"/>
        </w:rPr>
      </w:pPr>
    </w:p>
    <w:p w:rsidR="00B17FEC" w:rsidRDefault="00B17FEC" w:rsidP="00B17FE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01"/>
        <w:gridCol w:w="2326"/>
        <w:gridCol w:w="1120"/>
        <w:gridCol w:w="1088"/>
        <w:gridCol w:w="1114"/>
        <w:gridCol w:w="1148"/>
      </w:tblGrid>
      <w:tr w:rsidR="00B17FEC" w:rsidRPr="00B17FEC" w:rsidTr="0051476A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17FE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B17FEC" w:rsidRPr="00B17FEC" w:rsidTr="0051476A">
        <w:trPr>
          <w:cantSplit/>
        </w:trPr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17F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2,1</w:t>
            </w:r>
            <w:r w:rsidRPr="00B17F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17F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р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17F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17F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17F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17FE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17FE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2,1</w:t>
            </w:r>
            <w:r w:rsidRPr="00B17F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по ХПК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17F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17F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3,0</w:t>
            </w:r>
            <w:r w:rsidRPr="00B17F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17FE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17FEC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17FEC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17FEC">
              <w:rPr>
                <w:rFonts w:ascii="Arial" w:hAnsi="Arial" w:cs="Arial"/>
                <w:b/>
                <w:i/>
                <w:sz w:val="24"/>
                <w:szCs w:val="24"/>
              </w:rPr>
              <w:t>Колыма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B17FEC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B17FEC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2,9</w:t>
            </w:r>
            <w:r w:rsidRPr="00B17FE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17FEC" w:rsidRPr="00B17FEC" w:rsidTr="0051476A">
        <w:tc>
          <w:tcPr>
            <w:tcW w:w="9469" w:type="dxa"/>
            <w:gridSpan w:val="7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17FE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B17FEC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B17FEC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н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B17FEC" w:rsidRPr="00B17FEC" w:rsidTr="0051476A">
        <w:tc>
          <w:tcPr>
            <w:tcW w:w="472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B17FEC" w:rsidRPr="00B17FEC" w:rsidTr="0051476A">
        <w:tc>
          <w:tcPr>
            <w:tcW w:w="472" w:type="dxa"/>
            <w:vMerge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ц</w:t>
            </w: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Республика Карелия</w:t>
            </w:r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48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B17FEC" w:rsidRPr="00B17FEC" w:rsidTr="0051476A">
        <w:tc>
          <w:tcPr>
            <w:tcW w:w="472" w:type="dxa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B17FEC" w:rsidRPr="00B17FEC" w:rsidRDefault="00B17FEC" w:rsidP="00B17FE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B17FEC" w:rsidRPr="00B17FEC" w:rsidRDefault="00B17FEC" w:rsidP="00B17FE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17FE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</w:tbl>
    <w:p w:rsidR="00B17FEC" w:rsidRDefault="00B17FEC" w:rsidP="00B17FEC">
      <w:pPr>
        <w:spacing w:after="0" w:line="360" w:lineRule="auto"/>
        <w:rPr>
          <w:lang w:val="en-US"/>
        </w:rPr>
      </w:pPr>
    </w:p>
    <w:p w:rsidR="00B17FEC" w:rsidRDefault="00B17FEC" w:rsidP="00B17FEC">
      <w:pPr>
        <w:rPr>
          <w:rFonts w:ascii="Arial" w:hAnsi="Arial" w:cs="Arial"/>
          <w:sz w:val="20"/>
          <w:szCs w:val="20"/>
        </w:rPr>
      </w:pPr>
    </w:p>
    <w:p w:rsidR="00B17FEC" w:rsidRDefault="00B17FEC" w:rsidP="00B17FEC">
      <w:pPr>
        <w:rPr>
          <w:rFonts w:ascii="Arial" w:hAnsi="Arial" w:cs="Arial"/>
          <w:sz w:val="20"/>
          <w:szCs w:val="20"/>
        </w:rPr>
      </w:pPr>
    </w:p>
    <w:p w:rsidR="00B17FEC" w:rsidRPr="00845F6F" w:rsidRDefault="00B17FEC" w:rsidP="00B17FEC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B17FEC" w:rsidRDefault="00B17FEC" w:rsidP="00B17FEC">
      <w:pPr>
        <w:rPr>
          <w:rFonts w:ascii="Arial" w:hAnsi="Arial" w:cs="Arial"/>
        </w:rPr>
      </w:pPr>
    </w:p>
    <w:p w:rsidR="00B17FEC" w:rsidRDefault="00B17FEC" w:rsidP="00B17FEC">
      <w:pPr>
        <w:rPr>
          <w:rFonts w:ascii="Arial" w:hAnsi="Arial" w:cs="Arial"/>
        </w:rPr>
      </w:pPr>
    </w:p>
    <w:p w:rsidR="00B17FEC" w:rsidRPr="00845F6F" w:rsidRDefault="00B17FEC" w:rsidP="00B17FEC">
      <w:pPr>
        <w:rPr>
          <w:rFonts w:ascii="Arial" w:hAnsi="Arial" w:cs="Arial"/>
        </w:rPr>
      </w:pPr>
    </w:p>
    <w:p w:rsidR="00B17FEC" w:rsidRPr="00845F6F" w:rsidRDefault="00B17FEC" w:rsidP="00B17FEC">
      <w:pPr>
        <w:rPr>
          <w:rFonts w:ascii="Arial" w:hAnsi="Arial" w:cs="Arial"/>
        </w:rPr>
      </w:pPr>
    </w:p>
    <w:p w:rsidR="00B17FEC" w:rsidRPr="00B17FEC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FEC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B17FEC" w:rsidRPr="00B17FEC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7FEC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B17FEC" w:rsidRPr="00B17FEC" w:rsidRDefault="00B17FEC" w:rsidP="00B17FEC">
      <w:pPr>
        <w:spacing w:after="0" w:line="240" w:lineRule="auto"/>
        <w:rPr>
          <w:sz w:val="24"/>
          <w:szCs w:val="24"/>
        </w:rPr>
      </w:pPr>
      <w:r w:rsidRPr="00B17FEC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B17FEC">
        <w:rPr>
          <w:rFonts w:ascii="Arial" w:hAnsi="Arial" w:cs="Arial"/>
          <w:sz w:val="24"/>
          <w:szCs w:val="24"/>
        </w:rPr>
        <w:tab/>
      </w:r>
      <w:r w:rsidRPr="00B17FEC">
        <w:rPr>
          <w:rFonts w:ascii="Arial" w:hAnsi="Arial" w:cs="Arial"/>
          <w:sz w:val="24"/>
          <w:szCs w:val="24"/>
        </w:rPr>
        <w:tab/>
      </w:r>
      <w:r w:rsidRPr="00B17FEC">
        <w:rPr>
          <w:rFonts w:ascii="Arial" w:hAnsi="Arial" w:cs="Arial"/>
          <w:sz w:val="24"/>
          <w:szCs w:val="24"/>
        </w:rPr>
        <w:tab/>
      </w:r>
      <w:r w:rsidRPr="00B17FEC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B17FEC" w:rsidRDefault="00B17FEC" w:rsidP="00B17FEC">
      <w:pPr>
        <w:spacing w:after="0"/>
      </w:pPr>
    </w:p>
    <w:p w:rsidR="00B17FEC" w:rsidRPr="00B202C0" w:rsidRDefault="00B17FEC" w:rsidP="00B17FE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B17FEC" w:rsidRPr="00B202C0" w:rsidRDefault="00B17FEC" w:rsidP="00B17FEC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B17FEC" w:rsidRPr="00B202C0" w:rsidRDefault="00B17FEC" w:rsidP="00B17FEC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B17FEC" w:rsidRPr="00356146" w:rsidRDefault="00B17FEC" w:rsidP="00B17FE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B17FEC" w:rsidRPr="00356146" w:rsidRDefault="00B17FEC" w:rsidP="00B17FE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17FEC" w:rsidRPr="00356146" w:rsidRDefault="00F20BBE" w:rsidP="00B17F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98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="00B17FEC"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17FEC" w:rsidRPr="00356146" w:rsidTr="005147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B17FEC" w:rsidRPr="00356146" w:rsidRDefault="00B17FEC" w:rsidP="0051476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B17FEC" w:rsidRDefault="00B17FEC" w:rsidP="00B17FEC"/>
    <w:p w:rsidR="00B17FEC" w:rsidRPr="00B17FEC" w:rsidRDefault="00B17FEC" w:rsidP="00B17FEC">
      <w:pPr>
        <w:pStyle w:val="1"/>
        <w:ind w:left="6372" w:firstLine="708"/>
        <w:rPr>
          <w:rFonts w:cs="Arial"/>
          <w:b w:val="0"/>
          <w:szCs w:val="24"/>
        </w:rPr>
      </w:pPr>
      <w:r w:rsidRPr="00B17FEC">
        <w:rPr>
          <w:rFonts w:cs="Arial"/>
          <w:b w:val="0"/>
          <w:szCs w:val="24"/>
        </w:rPr>
        <w:t>Приложение 4</w:t>
      </w:r>
    </w:p>
    <w:p w:rsidR="00B17FEC" w:rsidRDefault="00B17FEC" w:rsidP="00B17FEC"/>
    <w:p w:rsidR="00F20BBE" w:rsidRPr="001C2D56" w:rsidRDefault="00F20BBE" w:rsidP="00B17FEC"/>
    <w:p w:rsidR="00B17FEC" w:rsidRPr="00AC03CA" w:rsidRDefault="00B17FEC" w:rsidP="00B17F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B17FEC" w:rsidRPr="00AC03CA" w:rsidRDefault="00B17FEC" w:rsidP="00B17F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B17FEC" w:rsidRPr="00AC03CA" w:rsidRDefault="00B17FEC" w:rsidP="00B17FE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B17FEC" w:rsidRPr="00AC03CA" w:rsidRDefault="00B17FEC" w:rsidP="00B17FEC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B17FEC" w:rsidRPr="00F20BBE" w:rsidRDefault="00B17FEC" w:rsidP="005147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20BB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B17FEC" w:rsidRPr="00B17FEC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7FEC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B17FEC" w:rsidRPr="00B17FEC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17FEC" w:rsidRPr="00F20BBE" w:rsidRDefault="00B17FEC" w:rsidP="005147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20BB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B17FEC" w:rsidRPr="00F20BBE" w:rsidRDefault="00B17FEC" w:rsidP="0051476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20BB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B17FEC" w:rsidRDefault="00B17FEC" w:rsidP="00B17FEC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B17FEC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B17FEC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B17FEC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B17FEC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B17FEC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B17FEC" w:rsidRPr="00B17FEC" w:rsidRDefault="00B17FEC" w:rsidP="00B17FEC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B17FEC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B17FEC" w:rsidRPr="00AC03CA" w:rsidTr="0051476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17FEC" w:rsidRPr="00AC03CA" w:rsidRDefault="00B17FEC" w:rsidP="0051476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17FEC" w:rsidRPr="00AC03CA" w:rsidRDefault="00B17FEC" w:rsidP="0051476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B17FEC" w:rsidRPr="00AC03CA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AC03CA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7FEC" w:rsidRPr="00AC03CA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B17FEC" w:rsidRPr="00AC03CA" w:rsidRDefault="00B17FEC" w:rsidP="00B17FE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17FEC" w:rsidRDefault="00B17FEC" w:rsidP="00F20BBE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B17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FEC"/>
    <w:rsid w:val="000515EA"/>
    <w:rsid w:val="003A4A6D"/>
    <w:rsid w:val="004E007C"/>
    <w:rsid w:val="0051476A"/>
    <w:rsid w:val="007043AE"/>
    <w:rsid w:val="00B17FEC"/>
    <w:rsid w:val="00F2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DDD3CFD-66FB-49D7-84D3-7CE050A2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EC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B17FEC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F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17FEC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B17F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B17FEC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B17F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17FEC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B17FE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17FEC"/>
    <w:pPr>
      <w:ind w:left="720"/>
      <w:contextualSpacing/>
    </w:pPr>
  </w:style>
  <w:style w:type="paragraph" w:styleId="aa">
    <w:name w:val="No Spacing"/>
    <w:uiPriority w:val="1"/>
    <w:qFormat/>
    <w:rsid w:val="00B17FEC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B17FEC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B17FEC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B17FEC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