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140-173 от 20.01.2010</w:t>
      </w: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  <w:b/>
          <w:u w:val="single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декабре 2009 года</w:t>
      </w:r>
    </w:p>
    <w:p w:rsidR="00000000" w:rsidRDefault="00DD558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DD558A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Росгидромет сообщает об аварийном, экстремально высоком </w:t>
      </w:r>
      <w:r>
        <w:rPr>
          <w:rFonts w:ascii="Arial" w:hAnsi="Arial" w:cs="Arial"/>
        </w:rPr>
        <w:t>и высоком загрязнении атмосферного воздуха и водных объектов, а также о радиационной обстановке на территории России в декабре 2009 года.</w:t>
      </w:r>
    </w:p>
    <w:p w:rsidR="00000000" w:rsidRDefault="00DD558A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DD558A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DD558A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14 декабря на ОАО «</w:t>
      </w:r>
      <w:proofErr w:type="spellStart"/>
      <w:r>
        <w:rPr>
          <w:rFonts w:ascii="Arial" w:hAnsi="Arial" w:cs="Arial"/>
        </w:rPr>
        <w:t>Новокуйбышевский</w:t>
      </w:r>
      <w:proofErr w:type="spellEnd"/>
      <w:r>
        <w:rPr>
          <w:rFonts w:ascii="Arial" w:hAnsi="Arial" w:cs="Arial"/>
        </w:rPr>
        <w:t xml:space="preserve"> нефтеперерабатывающ</w:t>
      </w:r>
      <w:r>
        <w:rPr>
          <w:rFonts w:ascii="Arial" w:hAnsi="Arial" w:cs="Arial"/>
        </w:rPr>
        <w:t>ий завод» (Самарская обл.) произошла авария с возгоранием. Пожар был локализован через 1,5 часа. Пострадавших нет. Специалистами Самарского Центра по гидрометеорологии и мониторингу окружающей среды был организован экспедиционный отбор проб атмосферного во</w:t>
      </w:r>
      <w:r>
        <w:rPr>
          <w:rFonts w:ascii="Arial" w:hAnsi="Arial" w:cs="Arial"/>
        </w:rPr>
        <w:t>здуха в жилой зоне города, подверженной максимальному влиянию выбросов завода, на содержание специфических веществ. Результаты анализа проб воздуха показали, что концентрации нефтяных углеводородов достигали 2,8 ПДК м.р., ксилола – 2 ПДК м.р., предельных у</w:t>
      </w:r>
      <w:r>
        <w:rPr>
          <w:rFonts w:ascii="Arial" w:hAnsi="Arial" w:cs="Arial"/>
        </w:rPr>
        <w:t xml:space="preserve">глеводородов (по метану) – 1,2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жалобами населения на загрязнение атмосферного воздуха, произошедшее 23 декабря в  результате технологической аварии на ОАО «</w:t>
      </w:r>
      <w:proofErr w:type="spellStart"/>
      <w:r>
        <w:rPr>
          <w:rFonts w:ascii="Arial" w:hAnsi="Arial" w:cs="Arial"/>
        </w:rPr>
        <w:t>Новокуйбышевский</w:t>
      </w:r>
      <w:proofErr w:type="spellEnd"/>
      <w:r>
        <w:rPr>
          <w:rFonts w:ascii="Arial" w:hAnsi="Arial" w:cs="Arial"/>
        </w:rPr>
        <w:t xml:space="preserve"> нефтеперерабатывающий завод» (Самарская обл.), </w:t>
      </w:r>
      <w:r>
        <w:rPr>
          <w:rFonts w:ascii="Arial" w:hAnsi="Arial" w:cs="Arial"/>
        </w:rPr>
        <w:lastRenderedPageBreak/>
        <w:t>специалистами Сама</w:t>
      </w:r>
      <w:r>
        <w:rPr>
          <w:rFonts w:ascii="Arial" w:hAnsi="Arial" w:cs="Arial"/>
        </w:rPr>
        <w:t>рского Центра по гидрометеорологии и мониторингу окружающей среды был организован отбор проб атмосферного воздуха в жилой зоне города на содержание специфических веществ.   Результаты анализа проб воздуха показали, что концентрации нефтяных углеводородов д</w:t>
      </w:r>
      <w:r>
        <w:rPr>
          <w:rFonts w:ascii="Arial" w:hAnsi="Arial" w:cs="Arial"/>
        </w:rPr>
        <w:t xml:space="preserve">остигали 8 ПДК м.р., предельных углеводородов (по метану) – 4,2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 xml:space="preserve">., этилбензола – 3,8 ПДК м.р., ксилола – 3 ПДК м.р., бензола – 1,5 ПДК м.р., толуола – 1,4 ПДК м.р. </w:t>
      </w:r>
    </w:p>
    <w:p w:rsidR="00000000" w:rsidRDefault="00DD558A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Водные объекты.</w:t>
      </w:r>
    </w:p>
    <w:p w:rsidR="00000000" w:rsidRDefault="00DD558A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20 декабря вследствие шторма в районе г. Сочи Краснодарского края пот</w:t>
      </w:r>
      <w:r>
        <w:rPr>
          <w:rFonts w:ascii="Arial" w:hAnsi="Arial" w:cs="Arial"/>
        </w:rPr>
        <w:t>ерпел крушение сухогруз, принадлежащий компании «</w:t>
      </w:r>
      <w:proofErr w:type="spellStart"/>
      <w:r>
        <w:rPr>
          <w:rFonts w:ascii="Arial" w:hAnsi="Arial" w:cs="Arial"/>
        </w:rPr>
        <w:t>ТрансОптималРостов</w:t>
      </w:r>
      <w:proofErr w:type="spellEnd"/>
      <w:r>
        <w:rPr>
          <w:rFonts w:ascii="Arial" w:hAnsi="Arial" w:cs="Arial"/>
        </w:rPr>
        <w:t xml:space="preserve">». Химический анализ проб воды, отобранных 21 декабря у берега в районе гостиницы «Жемчужина» в непосредственной близости от основной части сухогруза, а также в прибрежных водах в районе </w:t>
      </w:r>
      <w:proofErr w:type="spellStart"/>
      <w:r>
        <w:rPr>
          <w:rFonts w:ascii="Arial" w:hAnsi="Arial" w:cs="Arial"/>
        </w:rPr>
        <w:t>Бо</w:t>
      </w:r>
      <w:r>
        <w:rPr>
          <w:rFonts w:ascii="Arial" w:hAnsi="Arial" w:cs="Arial"/>
        </w:rPr>
        <w:t>чарова</w:t>
      </w:r>
      <w:proofErr w:type="spellEnd"/>
      <w:r>
        <w:rPr>
          <w:rFonts w:ascii="Arial" w:hAnsi="Arial" w:cs="Arial"/>
        </w:rPr>
        <w:t xml:space="preserve"> ручья рядом с затонувшей носовой частью сухогруза, повышенного содержания нефтепродуктов в морской воде не выявил.</w:t>
      </w:r>
    </w:p>
    <w:p w:rsidR="00000000" w:rsidRDefault="00DD558A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27 декабря на водной поверхности реки Абы (приток реки Томи), протекающей в черте города Новокузнецка Кемеровской области, отмечались </w:t>
      </w:r>
      <w:r>
        <w:rPr>
          <w:rFonts w:ascii="Arial" w:hAnsi="Arial" w:cs="Arial"/>
        </w:rPr>
        <w:t xml:space="preserve">нефтяные пятна. Химический анализ проб воды, отобранных специалистами Новокузнецкой </w:t>
      </w:r>
      <w:proofErr w:type="spellStart"/>
      <w:r>
        <w:rPr>
          <w:rFonts w:ascii="Arial" w:hAnsi="Arial" w:cs="Arial"/>
        </w:rPr>
        <w:t>гидрометобсерватории</w:t>
      </w:r>
      <w:proofErr w:type="spellEnd"/>
      <w:r>
        <w:rPr>
          <w:rFonts w:ascii="Arial" w:hAnsi="Arial" w:cs="Arial"/>
        </w:rPr>
        <w:t>, показал, что содержание растворенных нефтепродуктов в речной воде в 12-24 раза превышает ПДК*. По предварительным данным, источником загрязнения являл</w:t>
      </w:r>
      <w:r>
        <w:rPr>
          <w:rFonts w:ascii="Arial" w:hAnsi="Arial" w:cs="Arial"/>
        </w:rPr>
        <w:t>ся ОАО «Новокузнецкий металлургический комбинат».</w:t>
      </w:r>
    </w:p>
    <w:p w:rsidR="00000000" w:rsidRDefault="00DD558A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связи с аварией на Саяно-Шушенской ГЭС Среднесибирское межрегиональное территориальное управление (Среднесибирское УГМС) Росгидромета продолжало работы по наблюдению за загрязнением реки Енисей нефтепроду</w:t>
      </w:r>
      <w:r>
        <w:rPr>
          <w:rFonts w:ascii="Arial" w:hAnsi="Arial" w:cs="Arial"/>
          <w:sz w:val="24"/>
        </w:rPr>
        <w:t>ктами. Случаев повышенного загрязнения реки Енисей в связи с аварией на Саяно-Шушенской ГЭС зарегистрировано не было.</w:t>
      </w:r>
    </w:p>
    <w:p w:rsidR="00000000" w:rsidRDefault="00DD55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1.3. Почва</w:t>
      </w:r>
    </w:p>
    <w:p w:rsidR="00000000" w:rsidRDefault="00DD558A">
      <w:pPr>
        <w:pStyle w:val="3"/>
        <w:ind w:firstLine="708"/>
        <w:rPr>
          <w:sz w:val="24"/>
        </w:rPr>
      </w:pPr>
      <w:r>
        <w:rPr>
          <w:rFonts w:cs="Arial"/>
          <w:sz w:val="24"/>
        </w:rPr>
        <w:t xml:space="preserve">2 декабря в результате порыва нитки нефтепровода «Дружба» в </w:t>
      </w:r>
      <w:proofErr w:type="spellStart"/>
      <w:r>
        <w:rPr>
          <w:rFonts w:cs="Arial"/>
          <w:sz w:val="24"/>
        </w:rPr>
        <w:t>Становлянском</w:t>
      </w:r>
      <w:proofErr w:type="spellEnd"/>
      <w:r>
        <w:rPr>
          <w:rFonts w:cs="Arial"/>
          <w:sz w:val="24"/>
        </w:rPr>
        <w:t xml:space="preserve"> районе Липецкой области произошел разлив нефти на по</w:t>
      </w:r>
      <w:r>
        <w:rPr>
          <w:rFonts w:cs="Arial"/>
          <w:sz w:val="24"/>
        </w:rPr>
        <w:t xml:space="preserve">чву в объеме около 200 тонн и </w:t>
      </w:r>
      <w:r>
        <w:rPr>
          <w:sz w:val="24"/>
        </w:rPr>
        <w:t xml:space="preserve">загрязнение пахотных земель на площади до 2 га. Часть нефтепродуктов  попала  в реку  </w:t>
      </w:r>
      <w:proofErr w:type="spellStart"/>
      <w:r>
        <w:rPr>
          <w:sz w:val="24"/>
        </w:rPr>
        <w:t>Воргол</w:t>
      </w:r>
      <w:proofErr w:type="spellEnd"/>
      <w:r>
        <w:rPr>
          <w:sz w:val="24"/>
        </w:rPr>
        <w:t xml:space="preserve">,  впадающую  в </w:t>
      </w:r>
      <w:proofErr w:type="spellStart"/>
      <w:r>
        <w:rPr>
          <w:sz w:val="24"/>
        </w:rPr>
        <w:t>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еку</w:t>
      </w:r>
      <w:proofErr w:type="spellEnd"/>
      <w:r>
        <w:rPr>
          <w:sz w:val="24"/>
        </w:rPr>
        <w:t xml:space="preserve"> Сосну (бассейн реки 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DD558A">
      <w:pPr>
        <w:pStyle w:val="2"/>
        <w:ind w:firstLine="0"/>
        <w:rPr>
          <w:rFonts w:cs="Arial"/>
          <w:sz w:val="20"/>
        </w:rPr>
      </w:pPr>
      <w:r>
        <w:rPr>
          <w:rFonts w:cs="Arial"/>
          <w:sz w:val="20"/>
        </w:rPr>
        <w:t>______________________________</w:t>
      </w:r>
    </w:p>
    <w:p w:rsidR="00000000" w:rsidRDefault="00DD558A">
      <w:pPr>
        <w:pStyle w:val="2"/>
        <w:rPr>
          <w:rFonts w:cs="Arial"/>
          <w:szCs w:val="24"/>
        </w:rPr>
      </w:pPr>
    </w:p>
    <w:p w:rsidR="00000000" w:rsidRDefault="00DD558A">
      <w:pPr>
        <w:pStyle w:val="3"/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* Показатели загрязнения воды водных объектов приводятся п</w:t>
      </w:r>
      <w:r>
        <w:rPr>
          <w:rFonts w:cs="Arial"/>
          <w:sz w:val="20"/>
        </w:rPr>
        <w:t xml:space="preserve">о ПДК для </w:t>
      </w:r>
      <w:proofErr w:type="spellStart"/>
      <w:r>
        <w:rPr>
          <w:rFonts w:cs="Arial"/>
          <w:sz w:val="20"/>
        </w:rPr>
        <w:t>рыбохозяйственных</w:t>
      </w:r>
      <w:proofErr w:type="spellEnd"/>
      <w:r>
        <w:rPr>
          <w:rFonts w:cs="Arial"/>
          <w:sz w:val="20"/>
        </w:rPr>
        <w:t xml:space="preserve"> водных объектов </w:t>
      </w:r>
    </w:p>
    <w:p w:rsidR="00000000" w:rsidRDefault="00DD558A">
      <w:pPr>
        <w:pStyle w:val="3"/>
        <w:rPr>
          <w:sz w:val="24"/>
        </w:rPr>
      </w:pPr>
      <w:r>
        <w:rPr>
          <w:sz w:val="24"/>
        </w:rPr>
        <w:lastRenderedPageBreak/>
        <w:t xml:space="preserve">Дон). Результаты химического анализа проб воды, отобранных 3 декабря специалистами Центрально-Черноземного межрегионального территориального управления Росгидромета в реках </w:t>
      </w:r>
      <w:proofErr w:type="spellStart"/>
      <w:r>
        <w:rPr>
          <w:sz w:val="24"/>
        </w:rPr>
        <w:t>Воргол</w:t>
      </w:r>
      <w:proofErr w:type="spellEnd"/>
      <w:r>
        <w:rPr>
          <w:sz w:val="24"/>
        </w:rPr>
        <w:t xml:space="preserve"> (выше и ниже </w:t>
      </w:r>
      <w:proofErr w:type="spellStart"/>
      <w:r>
        <w:rPr>
          <w:sz w:val="24"/>
        </w:rPr>
        <w:t>автомоста</w:t>
      </w:r>
      <w:proofErr w:type="spellEnd"/>
      <w:r>
        <w:rPr>
          <w:sz w:val="24"/>
        </w:rPr>
        <w:t xml:space="preserve"> у села </w:t>
      </w:r>
      <w:proofErr w:type="spellStart"/>
      <w:r>
        <w:rPr>
          <w:sz w:val="24"/>
        </w:rPr>
        <w:t>К</w:t>
      </w:r>
      <w:r>
        <w:rPr>
          <w:sz w:val="24"/>
        </w:rPr>
        <w:t>ириллово</w:t>
      </w:r>
      <w:proofErr w:type="spellEnd"/>
      <w:r>
        <w:rPr>
          <w:sz w:val="24"/>
        </w:rPr>
        <w:t xml:space="preserve">), Сосна (выше г. Ельца у деревни Лавы) и Дон (выше г. </w:t>
      </w:r>
      <w:proofErr w:type="spellStart"/>
      <w:r>
        <w:rPr>
          <w:sz w:val="24"/>
        </w:rPr>
        <w:t>Задонска</w:t>
      </w:r>
      <w:proofErr w:type="spellEnd"/>
      <w:r>
        <w:rPr>
          <w:sz w:val="24"/>
        </w:rPr>
        <w:t xml:space="preserve">, в створе выше моста трассы Елец-Липецк) показали, что содержание там нефтепродуктов превышало 100 ПДК для </w:t>
      </w:r>
      <w:proofErr w:type="spellStart"/>
      <w:r>
        <w:rPr>
          <w:rFonts w:cs="Arial"/>
          <w:sz w:val="24"/>
        </w:rPr>
        <w:t>рыбохозяйственных</w:t>
      </w:r>
      <w:proofErr w:type="spellEnd"/>
      <w:r>
        <w:rPr>
          <w:rFonts w:cs="Arial"/>
          <w:sz w:val="24"/>
        </w:rPr>
        <w:t xml:space="preserve"> водных объектов, что соответствует экстремально высокому ур</w:t>
      </w:r>
      <w:r>
        <w:rPr>
          <w:rFonts w:cs="Arial"/>
          <w:sz w:val="24"/>
        </w:rPr>
        <w:t xml:space="preserve">овню загрязнения. </w:t>
      </w: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DD558A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декабре 2009 года случаев экстремально высокого загрязнения (ЭВЗ)** атмосферного воздуха не зарегистрировано (в декабре 2008 г. – также не зарегистрирова</w:t>
      </w:r>
      <w:r>
        <w:rPr>
          <w:rFonts w:ascii="Arial" w:hAnsi="Arial" w:cs="Arial"/>
        </w:rPr>
        <w:t>но).</w:t>
      </w:r>
    </w:p>
    <w:p w:rsidR="00000000" w:rsidRDefault="00DD558A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000000" w:rsidRDefault="00DD558A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В декабре на территории Российской Федерации случай ЭВЗ поверхностных вод веществами  1  и 2 классов опасности (превышение ПДК в  5  и  более раз) был  зарегистрирован 1 раз  на 1 водном  объекте  (в декабре 2008 г. - </w:t>
      </w:r>
      <w:r>
        <w:rPr>
          <w:rFonts w:ascii="Arial" w:hAnsi="Arial"/>
        </w:rPr>
        <w:t>2 раза на 1</w:t>
      </w:r>
      <w:r>
        <w:rPr>
          <w:rFonts w:ascii="Arial" w:hAnsi="Arial"/>
        </w:rPr>
        <w:t xml:space="preserve"> </w:t>
      </w:r>
      <w:r>
        <w:rPr>
          <w:rFonts w:ascii="Arial" w:hAnsi="Arial" w:cs="Arial"/>
        </w:rPr>
        <w:t xml:space="preserve">водном объекте). Случаи ЭВЗ поверхностных вод веществами 3-4 классов опасности (превышение ПДК в 50 и более раз) были зарегистрированы 10 раз на 9 водных объектах (в декабре 2008 г. – </w:t>
      </w:r>
      <w:r>
        <w:rPr>
          <w:rFonts w:ascii="Arial" w:hAnsi="Arial"/>
        </w:rPr>
        <w:t xml:space="preserve">14 раз на 12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</w:t>
      </w:r>
    </w:p>
    <w:p w:rsidR="00000000" w:rsidRDefault="00DD558A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Всего в декабре текущего года случаи ЭВ</w:t>
      </w:r>
      <w:r>
        <w:rPr>
          <w:rFonts w:ascii="Arial" w:hAnsi="Arial" w:cs="Arial"/>
        </w:rPr>
        <w:t xml:space="preserve">З поверхностных вод были зарегистрированы 11 раз на 10 водных объектах (в декабре 2008 года - 16 раз на 13 водных объектах). </w:t>
      </w:r>
      <w:proofErr w:type="spellStart"/>
      <w:r>
        <w:rPr>
          <w:rFonts w:ascii="Arial" w:hAnsi="Arial" w:cs="Arial"/>
        </w:rPr>
        <w:t>Пе</w:t>
      </w:r>
      <w:proofErr w:type="spellEnd"/>
      <w:r>
        <w:rPr>
          <w:rFonts w:ascii="Arial" w:hAnsi="Arial" w:cs="Arial"/>
          <w:lang w:val="en-US"/>
        </w:rPr>
        <w:t>p</w:t>
      </w:r>
      <w:proofErr w:type="spellStart"/>
      <w:r>
        <w:rPr>
          <w:rFonts w:ascii="Arial" w:hAnsi="Arial" w:cs="Arial"/>
        </w:rPr>
        <w:t>ечень</w:t>
      </w:r>
      <w:proofErr w:type="spellEnd"/>
      <w:r>
        <w:rPr>
          <w:rFonts w:ascii="Arial" w:hAnsi="Arial" w:cs="Arial"/>
        </w:rPr>
        <w:t xml:space="preserve"> случаев ЭВЗ представлен в приложении 1. </w:t>
      </w:r>
    </w:p>
    <w:p w:rsidR="00000000" w:rsidRDefault="00DD558A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Основные источники загрязнения - предприятия металлургической, горнодобывающей, н</w:t>
      </w:r>
      <w:r>
        <w:rPr>
          <w:rFonts w:ascii="Arial" w:hAnsi="Arial" w:cs="Arial"/>
        </w:rPr>
        <w:t xml:space="preserve">ефтяной, целлюлозно-бумажной промышленности и жилищно-коммунального хозяйства. </w:t>
      </w:r>
    </w:p>
    <w:p w:rsidR="00000000" w:rsidRDefault="00DD558A">
      <w:pPr>
        <w:pStyle w:val="a4"/>
        <w:ind w:firstLine="708"/>
        <w:rPr>
          <w:rFonts w:ascii="Arial" w:hAnsi="Arial" w:cs="Arial"/>
        </w:rPr>
      </w:pPr>
    </w:p>
    <w:p w:rsidR="00000000" w:rsidRDefault="00DD558A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:rsidR="00000000" w:rsidRDefault="00DD558A">
      <w:pPr>
        <w:pStyle w:val="20"/>
        <w:rPr>
          <w:rFonts w:cs="Arial"/>
        </w:rPr>
      </w:pPr>
      <w:r>
        <w:rPr>
          <w:rFonts w:cs="Arial"/>
        </w:rPr>
        <w:t xml:space="preserve">** - Под ЭВЗ атмосферного воздуха понимается содержание одного или нескольких веществ, превышающее    </w:t>
      </w:r>
    </w:p>
    <w:p w:rsidR="00000000" w:rsidRDefault="00DD558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</w:t>
      </w:r>
      <w:r>
        <w:rPr>
          <w:rFonts w:ascii="Arial" w:hAnsi="Arial" w:cs="Arial"/>
          <w:sz w:val="20"/>
          <w:szCs w:val="20"/>
        </w:rPr>
        <w:t>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DD55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DD55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DD55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DD558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DD558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появление устойчивого, не свойственного данной местности </w:t>
      </w:r>
      <w:r>
        <w:rPr>
          <w:rFonts w:ascii="Arial" w:hAnsi="Arial" w:cs="Arial"/>
          <w:sz w:val="20"/>
          <w:szCs w:val="20"/>
        </w:rPr>
        <w:t>(сезону) запаха;</w:t>
      </w:r>
    </w:p>
    <w:p w:rsidR="00000000" w:rsidRDefault="00DD558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DD558A">
      <w:pPr>
        <w:pStyle w:val="2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DD558A">
      <w:pPr>
        <w:pStyle w:val="a4"/>
        <w:rPr>
          <w:rFonts w:ascii="Arial" w:hAnsi="Arial" w:cs="Arial"/>
        </w:rPr>
      </w:pPr>
    </w:p>
    <w:p w:rsidR="00000000" w:rsidRDefault="00DD558A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DD558A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</w:t>
      </w:r>
      <w:r>
        <w:rPr>
          <w:rFonts w:ascii="Arial" w:hAnsi="Arial" w:cs="Arial"/>
          <w:b/>
        </w:rPr>
        <w:t>ферный воздух.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(ВЗ)*** атмосферного воздуха веществом 1 класса опасности /</w:t>
      </w:r>
      <w:proofErr w:type="spellStart"/>
      <w:r>
        <w:rPr>
          <w:rFonts w:ascii="Arial" w:hAnsi="Arial" w:cs="Arial"/>
        </w:rPr>
        <w:t>бенз</w:t>
      </w:r>
      <w:proofErr w:type="spellEnd"/>
      <w:r>
        <w:rPr>
          <w:rFonts w:ascii="Arial" w:hAnsi="Arial" w:cs="Arial"/>
        </w:rPr>
        <w:t>(а)</w:t>
      </w:r>
      <w:proofErr w:type="spellStart"/>
      <w:r>
        <w:rPr>
          <w:rFonts w:ascii="Arial" w:hAnsi="Arial" w:cs="Arial"/>
        </w:rPr>
        <w:t>пиреном</w:t>
      </w:r>
      <w:proofErr w:type="spellEnd"/>
      <w:r>
        <w:rPr>
          <w:rFonts w:ascii="Arial" w:hAnsi="Arial" w:cs="Arial"/>
        </w:rPr>
        <w:t xml:space="preserve">/ были зарегистрированы в Архангельске (4 случая, до 19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.).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декабре 2009 года в атмосферном воздухе 1 города  в 4 случаях регистриро</w:t>
      </w:r>
      <w:r>
        <w:rPr>
          <w:rFonts w:ascii="Arial" w:hAnsi="Arial" w:cs="Arial"/>
        </w:rPr>
        <w:t>вались концентрации загрязняющих веществ более 10 ПДК  (в декабре 2008 года – в 3 городах  в 7 случаях).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декабре 2009 года на территории Российской Федерации было зарегистрировано 109 случаев  ВЗ на 60 водных  объектах  (в декабре  </w:t>
      </w:r>
      <w:r>
        <w:rPr>
          <w:rFonts w:ascii="Arial" w:hAnsi="Arial" w:cs="Arial"/>
        </w:rPr>
        <w:t xml:space="preserve">2008 г. –  92 случая ВЗ на 62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Перечень случаев высокого загрязнения  водных объектов приведен в приложении 2. </w:t>
      </w:r>
    </w:p>
    <w:p w:rsidR="00000000" w:rsidRDefault="00DD558A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DD558A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DD558A">
      <w:pPr>
        <w:pStyle w:val="a5"/>
        <w:spacing w:line="312" w:lineRule="auto"/>
        <w:rPr>
          <w:rFonts w:ascii="Arial" w:hAnsi="Arial" w:cs="Arial"/>
        </w:rPr>
      </w:pPr>
    </w:p>
    <w:p w:rsidR="00000000" w:rsidRDefault="00DD558A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</w:t>
      </w:r>
      <w:r>
        <w:rPr>
          <w:rFonts w:ascii="Arial" w:hAnsi="Arial" w:cs="Arial"/>
        </w:rPr>
        <w:t>блица 1</w:t>
      </w:r>
    </w:p>
    <w:p w:rsidR="00000000" w:rsidRDefault="00DD558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Процент (%) от общего количества зарегистрированных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DD558A">
      <w:pPr>
        <w:pStyle w:val="a5"/>
        <w:rPr>
          <w:rFonts w:ascii="Arial" w:hAnsi="Arial" w:cs="Arial"/>
        </w:rPr>
      </w:pPr>
    </w:p>
    <w:p w:rsidR="00000000" w:rsidRDefault="00DD558A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отмеч</w:t>
      </w:r>
      <w:r>
        <w:rPr>
          <w:rFonts w:ascii="Arial" w:hAnsi="Arial" w:cs="Arial"/>
          <w:sz w:val="24"/>
          <w:szCs w:val="24"/>
        </w:rPr>
        <w:t xml:space="preserve">ено 7 % всех случаев ВЗ. </w:t>
      </w:r>
    </w:p>
    <w:p w:rsidR="00000000" w:rsidRDefault="00DD558A">
      <w:pPr>
        <w:pStyle w:val="a5"/>
        <w:rPr>
          <w:rFonts w:ascii="Arial" w:hAnsi="Arial" w:cs="Arial"/>
        </w:rPr>
      </w:pPr>
    </w:p>
    <w:p w:rsidR="00000000" w:rsidRDefault="00DD558A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00000" w:rsidRDefault="00DD558A">
      <w:pPr>
        <w:pStyle w:val="a5"/>
        <w:ind w:firstLine="0"/>
        <w:rPr>
          <w:rFonts w:ascii="Arial" w:hAnsi="Arial" w:cs="Arial"/>
        </w:rPr>
      </w:pPr>
    </w:p>
    <w:p w:rsidR="00000000" w:rsidRDefault="00DD558A">
      <w:pPr>
        <w:pStyle w:val="a5"/>
        <w:ind w:firstLine="0"/>
        <w:rPr>
          <w:rFonts w:ascii="Arial" w:hAnsi="Arial" w:cs="Arial"/>
          <w:sz w:val="20"/>
        </w:rPr>
      </w:pPr>
    </w:p>
    <w:p w:rsidR="00000000" w:rsidRDefault="00DD558A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</w:t>
      </w:r>
    </w:p>
    <w:p w:rsidR="00000000" w:rsidRDefault="00DD558A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</w:rPr>
        <w:t>ПД</w:t>
      </w:r>
      <w:r>
        <w:rPr>
          <w:rFonts w:ascii="Arial" w:hAnsi="Arial" w:cs="Arial"/>
          <w:sz w:val="20"/>
        </w:rPr>
        <w:t>К</w:t>
      </w:r>
      <w:r>
        <w:rPr>
          <w:rFonts w:ascii="Arial" w:hAnsi="Arial" w:cs="Arial"/>
          <w:sz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vertAlign w:val="subscript"/>
        </w:rPr>
        <w:t>.</w:t>
      </w:r>
      <w:r>
        <w:rPr>
          <w:rFonts w:ascii="Arial" w:hAnsi="Arial" w:cs="Arial"/>
          <w:sz w:val="20"/>
        </w:rPr>
        <w:t>) в 10 и более раз.</w:t>
      </w:r>
    </w:p>
    <w:p w:rsidR="00000000" w:rsidRDefault="00DD558A">
      <w:pPr>
        <w:pStyle w:val="a5"/>
        <w:spacing w:line="312" w:lineRule="auto"/>
        <w:rPr>
          <w:rFonts w:ascii="Arial" w:hAnsi="Arial" w:cs="Arial"/>
        </w:rPr>
      </w:pPr>
    </w:p>
    <w:p w:rsidR="00000000" w:rsidRDefault="00DD558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DD558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p w:rsidR="00000000" w:rsidRDefault="00DD558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ртути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Фен</w:t>
            </w:r>
            <w:r>
              <w:rPr>
                <w:rFonts w:cs="Arial"/>
                <w:sz w:val="24"/>
                <w:szCs w:val="24"/>
              </w:rPr>
              <w:t>олы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Растворенный в воде 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алюминия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Фтор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DD558A">
      <w:pPr>
        <w:pStyle w:val="a5"/>
        <w:rPr>
          <w:rFonts w:ascii="Arial" w:hAnsi="Arial" w:cs="Arial"/>
          <w:b/>
        </w:rPr>
      </w:pPr>
    </w:p>
    <w:p w:rsidR="00000000" w:rsidRDefault="00DD558A">
      <w:pPr>
        <w:pStyle w:val="a5"/>
        <w:rPr>
          <w:rFonts w:ascii="Arial" w:hAnsi="Arial" w:cs="Arial"/>
          <w:b/>
        </w:rPr>
      </w:pPr>
    </w:p>
    <w:p w:rsidR="00000000" w:rsidRDefault="00DD558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Город </w:t>
      </w:r>
      <w:proofErr w:type="spellStart"/>
      <w:r>
        <w:rPr>
          <w:rFonts w:ascii="Arial" w:hAnsi="Arial" w:cs="Arial"/>
          <w:b/>
        </w:rPr>
        <w:t>Москва</w:t>
      </w:r>
      <w:r>
        <w:rPr>
          <w:rFonts w:ascii="Arial" w:hAnsi="Arial" w:cs="Arial"/>
        </w:rPr>
        <w:t>****</w:t>
      </w:r>
      <w:proofErr w:type="spellEnd"/>
      <w:r>
        <w:rPr>
          <w:rFonts w:ascii="Arial" w:hAnsi="Arial" w:cs="Arial"/>
          <w:b/>
        </w:rPr>
        <w:t xml:space="preserve">. 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декабре, по данным стационарной сети наблюдений (приложение 3), в а</w:t>
      </w:r>
      <w:r>
        <w:rPr>
          <w:rFonts w:ascii="Arial" w:hAnsi="Arial" w:cs="Arial"/>
        </w:rPr>
        <w:t>тмосферном воздухе города наблюдались повышенные концентрации фенола и оксида углерода.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загрязнения атмосферного воздуха фенолом был зарегистрирован в Южном административном округе (ЮАО) г. Москвы (в районе «Нагорный», вблизи </w:t>
      </w:r>
      <w:proofErr w:type="spellStart"/>
      <w:r>
        <w:rPr>
          <w:rFonts w:ascii="Arial" w:hAnsi="Arial" w:cs="Arial"/>
        </w:rPr>
        <w:t>промзон</w:t>
      </w:r>
      <w:proofErr w:type="spellEnd"/>
      <w:r>
        <w:rPr>
          <w:rFonts w:ascii="Arial" w:hAnsi="Arial" w:cs="Arial"/>
        </w:rPr>
        <w:t xml:space="preserve"> «Верхн</w:t>
      </w:r>
      <w:r>
        <w:rPr>
          <w:rFonts w:ascii="Arial" w:hAnsi="Arial" w:cs="Arial"/>
        </w:rPr>
        <w:t>ие Котлы», «</w:t>
      </w:r>
      <w:proofErr w:type="spellStart"/>
      <w:r>
        <w:rPr>
          <w:rFonts w:ascii="Arial" w:hAnsi="Arial" w:cs="Arial"/>
        </w:rPr>
        <w:t>Нагатино</w:t>
      </w:r>
      <w:proofErr w:type="spellEnd"/>
      <w:r>
        <w:rPr>
          <w:rFonts w:ascii="Arial" w:hAnsi="Arial" w:cs="Arial"/>
        </w:rPr>
        <w:t xml:space="preserve">», ЗИЛ) и определялся НП=46%, СИ=3. 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DD55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</w:p>
    <w:p w:rsidR="00000000" w:rsidRDefault="00DD558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мкг</w:t>
      </w:r>
      <w:proofErr w:type="spellEnd"/>
      <w:r>
        <w:rPr>
          <w:rFonts w:ascii="Arial" w:hAnsi="Arial" w:cs="Arial"/>
          <w:sz w:val="20"/>
        </w:rPr>
        <w:t>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) с ПДК – предельно допустимыми концентрациями примесей, устан</w:t>
      </w:r>
      <w:r>
        <w:rPr>
          <w:rFonts w:ascii="Arial" w:hAnsi="Arial" w:cs="Arial"/>
          <w:sz w:val="20"/>
        </w:rPr>
        <w:t xml:space="preserve">овленными  </w:t>
      </w:r>
      <w:proofErr w:type="spellStart"/>
      <w:r>
        <w:rPr>
          <w:rFonts w:ascii="Arial" w:hAnsi="Arial" w:cs="Arial"/>
          <w:sz w:val="20"/>
        </w:rPr>
        <w:t>Минздравсоцразвития</w:t>
      </w:r>
      <w:proofErr w:type="spellEnd"/>
      <w:r>
        <w:rPr>
          <w:rFonts w:ascii="Arial" w:hAnsi="Arial" w:cs="Arial"/>
          <w:sz w:val="20"/>
        </w:rPr>
        <w:t xml:space="preserve"> России.</w:t>
      </w:r>
    </w:p>
    <w:p w:rsidR="00000000" w:rsidRDefault="00DD558A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DD558A">
      <w:pPr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стандартный индекс СИ – наибольшая, измеренная за короткий период времени, концентрация примеси, деленная н</w:t>
      </w:r>
      <w:r>
        <w:rPr>
          <w:rFonts w:ascii="Arial" w:hAnsi="Arial" w:cs="Arial"/>
          <w:sz w:val="20"/>
        </w:rPr>
        <w:t xml:space="preserve">а ПДК </w:t>
      </w:r>
      <w:r>
        <w:rPr>
          <w:rFonts w:ascii="Arial" w:hAnsi="Arial" w:cs="Arial"/>
          <w:sz w:val="20"/>
          <w:vertAlign w:val="subscript"/>
        </w:rPr>
        <w:t>м.р</w:t>
      </w:r>
      <w:r>
        <w:rPr>
          <w:rFonts w:ascii="Arial" w:hAnsi="Arial" w:cs="Arial"/>
          <w:sz w:val="20"/>
        </w:rPr>
        <w:t>.;</w:t>
      </w:r>
    </w:p>
    <w:p w:rsidR="00000000" w:rsidRDefault="00DD558A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 xml:space="preserve"> – НП, %.</w:t>
      </w:r>
    </w:p>
    <w:p w:rsidR="00000000" w:rsidRDefault="00DD558A">
      <w:pPr>
        <w:ind w:firstLine="708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Уровень загрязнения воздуха  оценивается по 4 градациям значений СИ и НП:</w:t>
      </w:r>
    </w:p>
    <w:p w:rsidR="00000000" w:rsidRDefault="00DD558A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низкий при СИ =  0-1 , НП = 0%;</w:t>
      </w:r>
    </w:p>
    <w:p w:rsidR="00000000" w:rsidRDefault="00DD558A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повышенный при СИ =2-4, НП = 1-19%;</w:t>
      </w:r>
    </w:p>
    <w:p w:rsidR="00000000" w:rsidRDefault="00DD558A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высокий при СИ=5-10; НП=20-49%;</w:t>
      </w:r>
    </w:p>
    <w:p w:rsidR="00000000" w:rsidRDefault="00DD558A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очень вы</w:t>
      </w:r>
      <w:r>
        <w:rPr>
          <w:rFonts w:ascii="Arial" w:hAnsi="Arial" w:cs="Arial"/>
          <w:sz w:val="20"/>
        </w:rPr>
        <w:t>сокий при СИ &gt;10; НП ≥50%.</w:t>
      </w:r>
    </w:p>
    <w:p w:rsidR="00000000" w:rsidRDefault="00DD558A">
      <w:pPr>
        <w:pStyle w:val="30"/>
        <w:ind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 загрязнения воздуха фенолом отмечался в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 xml:space="preserve">», вблизи </w:t>
      </w:r>
      <w:proofErr w:type="spellStart"/>
      <w:r>
        <w:rPr>
          <w:rFonts w:ascii="Arial" w:hAnsi="Arial" w:cs="Arial"/>
        </w:rPr>
        <w:t>п</w:t>
      </w:r>
      <w:r>
        <w:rPr>
          <w:rFonts w:ascii="Arial" w:hAnsi="Arial" w:cs="Arial"/>
        </w:rPr>
        <w:t>ромзоны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Калошино</w:t>
      </w:r>
      <w:proofErr w:type="spellEnd"/>
      <w:r>
        <w:rPr>
          <w:rFonts w:ascii="Arial" w:hAnsi="Arial" w:cs="Arial"/>
        </w:rPr>
        <w:t>») и Центральном (район «Мещанский») административных округах  и определялся НП=15% и 18% соответственно, СИ=2, а также в ЮАО (район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 xml:space="preserve">», вблизи </w:t>
      </w:r>
      <w:proofErr w:type="spellStart"/>
      <w:r>
        <w:rPr>
          <w:rFonts w:ascii="Arial" w:hAnsi="Arial" w:cs="Arial"/>
        </w:rPr>
        <w:t>промзоны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Чагино</w:t>
      </w:r>
      <w:proofErr w:type="spellEnd"/>
      <w:r>
        <w:rPr>
          <w:rFonts w:ascii="Arial" w:hAnsi="Arial" w:cs="Arial"/>
        </w:rPr>
        <w:t>»), НП=2%, СИ=1.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 загрязнения воздуха оксидом углерод</w:t>
      </w:r>
      <w:r>
        <w:rPr>
          <w:rFonts w:ascii="Arial" w:hAnsi="Arial" w:cs="Arial"/>
        </w:rPr>
        <w:t xml:space="preserve">а был зарегистрирован в </w:t>
      </w:r>
      <w:proofErr w:type="spellStart"/>
      <w:r>
        <w:rPr>
          <w:rFonts w:ascii="Arial" w:hAnsi="Arial" w:cs="Arial"/>
        </w:rPr>
        <w:t>Северо-Восточном</w:t>
      </w:r>
      <w:proofErr w:type="spellEnd"/>
      <w:r>
        <w:rPr>
          <w:rFonts w:ascii="Arial" w:hAnsi="Arial" w:cs="Arial"/>
        </w:rPr>
        <w:t xml:space="preserve"> (Всероссийский выставочный центр /ВВЦ/) и Северном (район «</w:t>
      </w:r>
      <w:proofErr w:type="spellStart"/>
      <w:r>
        <w:rPr>
          <w:rFonts w:ascii="Arial" w:hAnsi="Arial" w:cs="Arial"/>
        </w:rPr>
        <w:t>Савёловский</w:t>
      </w:r>
      <w:proofErr w:type="spellEnd"/>
      <w:r>
        <w:rPr>
          <w:rFonts w:ascii="Arial" w:hAnsi="Arial" w:cs="Arial"/>
        </w:rPr>
        <w:t>») административных округах и определялся НП=2%, СИ=1-2.</w:t>
      </w:r>
    </w:p>
    <w:p w:rsidR="00000000" w:rsidRDefault="00DD55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Северо-Западном</w:t>
      </w:r>
      <w:proofErr w:type="spellEnd"/>
      <w:r>
        <w:rPr>
          <w:rFonts w:ascii="Arial" w:hAnsi="Arial" w:cs="Arial"/>
        </w:rPr>
        <w:t xml:space="preserve">, Западном и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административных округах отмечался низкий ур</w:t>
      </w:r>
      <w:r>
        <w:rPr>
          <w:rFonts w:ascii="Arial" w:hAnsi="Arial" w:cs="Arial"/>
        </w:rPr>
        <w:t>овень загрязнения воздуха.</w:t>
      </w:r>
    </w:p>
    <w:p w:rsidR="00000000" w:rsidRDefault="00DD558A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00000" w:rsidRDefault="00DD558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на территории Российской Федерации в декабре 2009 года в целом была  стабильной и находилась в пределах радиационного фона. </w:t>
      </w:r>
    </w:p>
    <w:p w:rsidR="00000000" w:rsidRDefault="00DD558A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Экстремально высоких уровней радиоактивного загрязнения на территории России</w:t>
      </w:r>
      <w:r>
        <w:rPr>
          <w:rFonts w:ascii="Arial" w:hAnsi="Arial" w:cs="Arial"/>
        </w:rPr>
        <w:t xml:space="preserve"> не наблюдалось.</w:t>
      </w:r>
    </w:p>
    <w:p w:rsidR="00000000" w:rsidRDefault="00DD558A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Высокий уровень объемной радиоактивности приземного воздуха был отмечен в 7 случаях в 5 населенных пунктах: г. Благовещенске Амурской области (01-02 и 06-07 декабря, превышение фона составило 6 – 7 раз), г. </w:t>
      </w:r>
      <w:proofErr w:type="spellStart"/>
      <w:r>
        <w:rPr>
          <w:rFonts w:ascii="Arial" w:hAnsi="Arial" w:cs="Arial"/>
        </w:rPr>
        <w:t>Кызыле</w:t>
      </w:r>
      <w:proofErr w:type="spellEnd"/>
      <w:r>
        <w:rPr>
          <w:rFonts w:ascii="Arial" w:hAnsi="Arial" w:cs="Arial"/>
        </w:rPr>
        <w:t xml:space="preserve"> Республики </w:t>
      </w:r>
      <w:proofErr w:type="spellStart"/>
      <w:r>
        <w:rPr>
          <w:rFonts w:ascii="Arial" w:hAnsi="Arial" w:cs="Arial"/>
        </w:rPr>
        <w:t>Тывы</w:t>
      </w:r>
      <w:proofErr w:type="spellEnd"/>
      <w:r>
        <w:rPr>
          <w:rFonts w:ascii="Arial" w:hAnsi="Arial" w:cs="Arial"/>
        </w:rPr>
        <w:t xml:space="preserve"> (02-03 де</w:t>
      </w:r>
      <w:r>
        <w:rPr>
          <w:rFonts w:ascii="Arial" w:hAnsi="Arial" w:cs="Arial"/>
        </w:rPr>
        <w:t>кабря, превышение фона - в 7 раз), г. Диксоне Красноярского края (10-11 и 11-12 декабря, превышение фона составляло соответственно 5 и 8), г. Нижнем Новгороде (14-15 декабря, превышение фона - в 7 раз), г. Астрахани (15-16 декабря, превышение фона - в 6 ра</w:t>
      </w:r>
      <w:r>
        <w:rPr>
          <w:rFonts w:ascii="Arial" w:hAnsi="Arial" w:cs="Arial"/>
        </w:rPr>
        <w:t xml:space="preserve">з). </w:t>
      </w:r>
    </w:p>
    <w:p w:rsidR="00000000" w:rsidRDefault="00DD558A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Высокий уровень плотности радиоактивных выпадений из воздуха за прошедший месяц  отмечен не был.</w:t>
      </w:r>
    </w:p>
    <w:p w:rsidR="00000000" w:rsidRDefault="00DD558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</w:t>
      </w:r>
      <w:r>
        <w:rPr>
          <w:rFonts w:ascii="Arial" w:hAnsi="Arial" w:cs="Arial"/>
        </w:rPr>
        <w:t>Кюри/км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значения мощности экспозиционной дозы гамма-излучения (МЭД) находились в пределах от 14 до 17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с плотностью загрязнения 5-15 Кюри/км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- от 14 до 32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а с плотностью загрязнения 15-40 Кюри/км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- от 33 до 41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/ч.</w:t>
      </w:r>
    </w:p>
    <w:p w:rsidR="00000000" w:rsidRDefault="00DD558A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По данным ежедневных </w:t>
      </w:r>
      <w:r>
        <w:rPr>
          <w:rFonts w:ascii="Arial" w:hAnsi="Arial" w:cs="Arial"/>
        </w:rPr>
        <w:t xml:space="preserve">измерений  в 100-километровых зонах расположения АЭС и других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объектов, значения МЭД там находились в пределах 5–22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что соответствует уровням естественного радиационного фона.</w:t>
      </w:r>
    </w:p>
    <w:p w:rsidR="00000000" w:rsidRDefault="00DD558A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 w:cs="Arial"/>
        </w:rPr>
        <w:t>радиац</w:t>
      </w:r>
      <w:r>
        <w:rPr>
          <w:rFonts w:ascii="Arial" w:hAnsi="Arial" w:cs="Arial"/>
        </w:rPr>
        <w:t>ионно</w:t>
      </w:r>
      <w:proofErr w:type="spellEnd"/>
      <w:r>
        <w:rPr>
          <w:rFonts w:ascii="Arial" w:hAnsi="Arial" w:cs="Arial"/>
        </w:rPr>
        <w:t xml:space="preserve"> опасных  объектов в представлены в приложении `4.</w:t>
      </w:r>
    </w:p>
    <w:p w:rsidR="00000000" w:rsidRDefault="00DD558A">
      <w:pPr>
        <w:spacing w:line="360" w:lineRule="auto"/>
        <w:ind w:firstLine="708"/>
        <w:rPr>
          <w:rFonts w:ascii="Arial" w:hAnsi="Arial" w:cs="Arial"/>
        </w:rPr>
      </w:pPr>
    </w:p>
    <w:p w:rsidR="00000000" w:rsidRDefault="00DD558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DD558A">
      <w:pPr>
        <w:spacing w:line="360" w:lineRule="auto"/>
        <w:ind w:firstLine="708"/>
        <w:rPr>
          <w:rFonts w:ascii="Arial" w:hAnsi="Arial" w:cs="Arial"/>
        </w:rPr>
      </w:pPr>
    </w:p>
    <w:p w:rsidR="00000000" w:rsidRDefault="00DD558A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6 л. в 1 экз.</w:t>
      </w:r>
    </w:p>
    <w:p w:rsidR="00000000" w:rsidRDefault="00DD558A">
      <w:pPr>
        <w:outlineLvl w:val="0"/>
        <w:rPr>
          <w:rFonts w:ascii="Arial" w:hAnsi="Arial" w:cs="Arial"/>
        </w:rPr>
      </w:pPr>
    </w:p>
    <w:p w:rsidR="00000000" w:rsidRDefault="00DD558A">
      <w:pPr>
        <w:outlineLvl w:val="0"/>
        <w:rPr>
          <w:rFonts w:ascii="Arial" w:hAnsi="Arial" w:cs="Arial"/>
        </w:rPr>
      </w:pPr>
    </w:p>
    <w:p w:rsidR="00000000" w:rsidRDefault="00DD558A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Исполняющий обязанности </w:t>
      </w:r>
    </w:p>
    <w:p w:rsidR="00000000" w:rsidRDefault="00DD558A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Руководителя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outlineLvl w:val="0"/>
        <w:rPr>
          <w:rFonts w:ascii="Arial" w:hAnsi="Arial" w:cs="Arial"/>
          <w:b/>
        </w:rPr>
      </w:pPr>
    </w:p>
    <w:p w:rsidR="00000000" w:rsidRDefault="00DD558A">
      <w:pPr>
        <w:pStyle w:val="a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(499) 25</w:t>
      </w:r>
      <w:r>
        <w:rPr>
          <w:rFonts w:ascii="Arial" w:hAnsi="Arial" w:cs="Arial"/>
        </w:rPr>
        <w:t>56012</w:t>
      </w:r>
    </w:p>
    <w:p w:rsidR="00000000" w:rsidRDefault="00DD558A">
      <w:pPr>
        <w:pStyle w:val="a6"/>
      </w:pPr>
      <w:r>
        <w:t xml:space="preserve">                                                                                                                                          </w:t>
      </w:r>
    </w:p>
    <w:p w:rsidR="00000000" w:rsidRDefault="00DD558A">
      <w:pPr>
        <w:pStyle w:val="1"/>
        <w:jc w:val="right"/>
        <w:rPr>
          <w:rFonts w:cs="Arial"/>
          <w:bCs/>
          <w:sz w:val="24"/>
        </w:rPr>
      </w:pPr>
      <w:r>
        <w:rPr>
          <w:rFonts w:cs="Arial"/>
          <w:bCs/>
          <w:sz w:val="24"/>
        </w:rPr>
        <w:t>Приложение 1</w:t>
      </w: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  <w:r>
        <w:rPr>
          <w:rFonts w:ascii="Arial" w:hAnsi="Arial" w:cs="Arial"/>
        </w:rPr>
        <w:br/>
        <w:t>в декабре 2009 г.</w:t>
      </w:r>
    </w:p>
    <w:p w:rsidR="00000000" w:rsidRDefault="00DD558A">
      <w:pPr>
        <w:pStyle w:val="a4"/>
        <w:rPr>
          <w:rFonts w:ascii="Arial" w:hAnsi="Arial" w:cs="Arial"/>
        </w:rPr>
      </w:pPr>
    </w:p>
    <w:p w:rsidR="00000000" w:rsidRDefault="00DD558A">
      <w:pPr>
        <w:pStyle w:val="a4"/>
        <w:rPr>
          <w:rFonts w:ascii="Arial" w:hAnsi="Arial" w:cs="Arial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1"/>
        <w:gridCol w:w="2439"/>
        <w:gridCol w:w="2207"/>
        <w:gridCol w:w="2501"/>
        <w:gridCol w:w="1731"/>
      </w:tblGrid>
      <w:tr w:rsidR="00000000">
        <w:trPr>
          <w:cantSplit/>
          <w:trHeight w:val="28"/>
          <w:tblHeader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Концентрация, ПДК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Хауки-лампи-йоки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Заполярный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DD558A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Колос-йоки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пгт</w:t>
            </w:r>
            <w:proofErr w:type="spellEnd"/>
            <w:r>
              <w:rPr>
                <w:rFonts w:ascii="Arial" w:hAnsi="Arial" w:cs="Arial"/>
                <w:sz w:val="22"/>
              </w:rPr>
              <w:t>. Никель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О</w:t>
            </w:r>
            <w:r>
              <w:rPr>
                <w:rFonts w:ascii="Arial" w:hAnsi="Arial" w:cs="Arial"/>
                <w:sz w:val="22"/>
              </w:rPr>
              <w:t>хинка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Оха</w:t>
            </w:r>
            <w:proofErr w:type="spellEnd"/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137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DD558A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Ельцовка-1,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Екатеринбург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297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Березовски</w:t>
            </w:r>
            <w:r>
              <w:rPr>
                <w:rFonts w:ascii="Arial" w:hAnsi="Arial" w:cs="Arial"/>
                <w:sz w:val="22"/>
              </w:rPr>
              <w:t>й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73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Тула,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168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Тура, г. </w:t>
            </w:r>
            <w:proofErr w:type="spellStart"/>
            <w:r>
              <w:rPr>
                <w:rFonts w:ascii="Arial" w:hAnsi="Arial" w:cs="Arial"/>
                <w:sz w:val="22"/>
              </w:rPr>
              <w:t>Туринск</w:t>
            </w:r>
            <w:proofErr w:type="spellEnd"/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86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Чусовая,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Первоуральск</w:t>
            </w:r>
            <w:proofErr w:type="spellEnd"/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Чусовая, 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рп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Староуткинск</w:t>
            </w:r>
            <w:proofErr w:type="spellEnd"/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</w:trPr>
        <w:tc>
          <w:tcPr>
            <w:tcW w:w="597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47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Нижняя </w:t>
            </w:r>
            <w:proofErr w:type="spellStart"/>
            <w:r>
              <w:rPr>
                <w:rFonts w:ascii="Arial" w:hAnsi="Arial" w:cs="Arial"/>
                <w:sz w:val="22"/>
              </w:rPr>
              <w:t>Ельцовка</w:t>
            </w:r>
            <w:proofErr w:type="spellEnd"/>
            <w:r>
              <w:rPr>
                <w:rFonts w:ascii="Arial" w:hAnsi="Arial" w:cs="Arial"/>
                <w:sz w:val="22"/>
              </w:rPr>
              <w:t>, г. Новосибирск</w:t>
            </w:r>
          </w:p>
        </w:tc>
        <w:tc>
          <w:tcPr>
            <w:tcW w:w="2230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3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</w:tr>
    </w:tbl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  <w:sz w:val="20"/>
        </w:rPr>
      </w:pPr>
    </w:p>
    <w:p w:rsidR="00000000" w:rsidRDefault="00DD558A">
      <w:pPr>
        <w:rPr>
          <w:rFonts w:ascii="Arial" w:hAnsi="Arial" w:cs="Arial"/>
          <w:sz w:val="20"/>
        </w:rPr>
      </w:pP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>Росгидроме</w:t>
      </w:r>
      <w:r>
        <w:rPr>
          <w:rFonts w:ascii="Arial" w:hAnsi="Arial" w:cs="Arial"/>
        </w:rPr>
        <w:t xml:space="preserve">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DD558A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DD558A">
      <w:pPr>
        <w:pStyle w:val="a4"/>
        <w:ind w:left="6372" w:firstLine="708"/>
        <w:rPr>
          <w:rFonts w:ascii="Arial" w:hAnsi="Arial" w:cs="Arial"/>
        </w:rPr>
      </w:pPr>
    </w:p>
    <w:p w:rsidR="00000000" w:rsidRDefault="00DD55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декабре 2009 г.</w:t>
      </w:r>
    </w:p>
    <w:p w:rsidR="00000000" w:rsidRDefault="00DD558A">
      <w:pPr>
        <w:pStyle w:val="a4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"/>
        <w:gridCol w:w="2228"/>
        <w:gridCol w:w="2288"/>
        <w:gridCol w:w="1137"/>
        <w:gridCol w:w="1060"/>
        <w:gridCol w:w="1138"/>
        <w:gridCol w:w="1176"/>
      </w:tblGrid>
      <w:tr w:rsidR="00000000">
        <w:trPr>
          <w:cantSplit/>
          <w:trHeight w:val="889"/>
          <w:tblHeader/>
        </w:trPr>
        <w:tc>
          <w:tcPr>
            <w:tcW w:w="442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мин.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DD558A">
            <w:pPr>
              <w:spacing w:after="6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алюминия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2.12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spacing w:after="60"/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Волга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Астраханская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Кировская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Московская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</w:t>
            </w:r>
            <w:r>
              <w:rPr>
                <w:rFonts w:ascii="Arial" w:hAnsi="Arial" w:cs="Arial"/>
                <w:sz w:val="22"/>
              </w:rPr>
              <w:t>городская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Фенолы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Башкортостан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</w:t>
            </w:r>
            <w:r>
              <w:rPr>
                <w:rFonts w:ascii="Arial" w:hAnsi="Arial" w:cs="Arial"/>
                <w:sz w:val="22"/>
              </w:rPr>
              <w:t>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spacing w:after="60"/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Дон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Белгородская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spacing w:after="60"/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Енисей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Бурятия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Фто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spacing w:after="60"/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Кам</w:t>
            </w:r>
            <w:r>
              <w:rPr>
                <w:rFonts w:ascii="Arial" w:hAnsi="Arial" w:cs="Arial"/>
                <w:b/>
                <w:i/>
                <w:sz w:val="22"/>
              </w:rPr>
              <w:t>а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spacing w:after="60"/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Обь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Алтай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Фенолы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Урал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D558A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  <w:vMerge w:val="restart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c>
          <w:tcPr>
            <w:tcW w:w="442" w:type="dxa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288" w:type="dxa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6" w:type="dxa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</w:tbl>
    <w:p w:rsidR="00000000" w:rsidRDefault="00DD55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</w:t>
      </w:r>
    </w:p>
    <w:p w:rsidR="00000000" w:rsidRDefault="00DD558A">
      <w:pPr>
        <w:spacing w:line="360" w:lineRule="auto"/>
        <w:rPr>
          <w:rFonts w:ascii="Arial" w:hAnsi="Arial" w:cs="Arial"/>
        </w:rPr>
      </w:pPr>
    </w:p>
    <w:p w:rsidR="00000000" w:rsidRDefault="00DD558A">
      <w:pPr>
        <w:spacing w:line="360" w:lineRule="auto"/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>загрязнения  окружающей ср</w:t>
      </w:r>
      <w:r>
        <w:rPr>
          <w:rFonts w:ascii="Arial" w:hAnsi="Arial" w:cs="Arial"/>
        </w:rPr>
        <w:t xml:space="preserve">еды,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DD558A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DD558A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DD55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DD558A">
      <w:pPr>
        <w:jc w:val="center"/>
        <w:rPr>
          <w:b/>
        </w:rPr>
      </w:pPr>
    </w:p>
    <w:p w:rsidR="00000000" w:rsidRDefault="00DD558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tbl>
      <w:tblPr>
        <w:tblW w:w="12169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990"/>
        <w:gridCol w:w="2340"/>
        <w:gridCol w:w="7039"/>
      </w:tblGrid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Ср.Овчинниковский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«Замоскворечье»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«Мещанский» (Садовое кольцо)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</w:t>
            </w:r>
            <w:r>
              <w:rPr>
                <w:sz w:val="22"/>
                <w:szCs w:val="22"/>
              </w:rPr>
              <w:t>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«Нагорный»</w:t>
            </w:r>
          </w:p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«Рязанский»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ул.Полярная</w:t>
            </w:r>
            <w:proofErr w:type="spellEnd"/>
            <w:r>
              <w:rPr>
                <w:sz w:val="22"/>
                <w:szCs w:val="22"/>
              </w:rPr>
              <w:t>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ул.Шоссейная</w:t>
            </w:r>
            <w:proofErr w:type="spellEnd"/>
            <w:r>
              <w:rPr>
                <w:sz w:val="22"/>
                <w:szCs w:val="22"/>
              </w:rPr>
              <w:t>, 29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«Печатники»</w:t>
            </w:r>
          </w:p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ул.Народного</w:t>
            </w:r>
            <w:proofErr w:type="spellEnd"/>
            <w:r>
              <w:rPr>
                <w:sz w:val="22"/>
                <w:szCs w:val="22"/>
              </w:rPr>
              <w:t xml:space="preserve"> Ополчения, 19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» 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ул.Туристская</w:t>
            </w:r>
            <w:proofErr w:type="spellEnd"/>
            <w:r>
              <w:rPr>
                <w:sz w:val="22"/>
                <w:szCs w:val="22"/>
              </w:rPr>
              <w:t>, 15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«Северное Тушино»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ул.Долго</w:t>
            </w:r>
            <w:r>
              <w:rPr>
                <w:sz w:val="22"/>
                <w:szCs w:val="22"/>
              </w:rPr>
              <w:t>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«Дмитровский» </w:t>
            </w:r>
          </w:p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«Можайский»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ул.Братеевская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27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55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                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DD558A"/>
    <w:p w:rsidR="00000000" w:rsidRDefault="00DD558A">
      <w:pPr>
        <w:rPr>
          <w:rFonts w:ascii="Arial" w:hAnsi="Arial" w:cs="Arial"/>
        </w:rPr>
      </w:pPr>
    </w:p>
    <w:p w:rsidR="00000000" w:rsidRDefault="00DD558A">
      <w:pPr>
        <w:pStyle w:val="1"/>
        <w:jc w:val="right"/>
        <w:rPr>
          <w:rFonts w:cs="Arial"/>
          <w:sz w:val="24"/>
        </w:rPr>
      </w:pPr>
      <w:r>
        <w:rPr>
          <w:rFonts w:cs="Arial"/>
          <w:sz w:val="24"/>
        </w:rPr>
        <w:t>Приложение 4</w:t>
      </w: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DD55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 опасных объектов </w:t>
      </w:r>
    </w:p>
    <w:p w:rsidR="00000000" w:rsidRDefault="00DD55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декабре 2009 г.</w:t>
      </w: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pStyle w:val="a4"/>
        <w:ind w:firstLine="709"/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DD558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Значение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7" w:type="dxa"/>
            <w:vAlign w:val="center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>
              <w:rPr>
                <w:rFonts w:ascii="Arial" w:hAnsi="Arial" w:cs="Arial"/>
                <w:sz w:val="22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Балаковская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Белоярская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Билибинская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Калининская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Кольская       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Курская         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Новов</w:t>
            </w:r>
            <w:r>
              <w:rPr>
                <w:rFonts w:ascii="Arial" w:hAnsi="Arial" w:cs="Arial"/>
                <w:sz w:val="22"/>
              </w:rPr>
              <w:t>оронежская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Волгодонская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Смоленская            АЭС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ФГУП «ПО «</w:t>
            </w:r>
            <w:proofErr w:type="spellStart"/>
            <w:r>
              <w:rPr>
                <w:rFonts w:ascii="Arial" w:hAnsi="Arial" w:cs="Arial"/>
                <w:sz w:val="22"/>
              </w:rPr>
              <w:t>Севмаш</w:t>
            </w:r>
            <w:proofErr w:type="spellEnd"/>
            <w:r>
              <w:rPr>
                <w:rFonts w:ascii="Arial" w:hAnsi="Arial" w:cs="Arial"/>
                <w:sz w:val="22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 w:cs="Arial"/>
                <w:sz w:val="22"/>
              </w:rPr>
              <w:t>Димитровград</w:t>
            </w:r>
            <w:proofErr w:type="spellEnd"/>
            <w:r>
              <w:rPr>
                <w:rFonts w:ascii="Arial" w:hAnsi="Arial" w:cs="Arial"/>
                <w:sz w:val="22"/>
              </w:rPr>
              <w:t>),</w:t>
            </w:r>
          </w:p>
          <w:p w:rsidR="00000000" w:rsidRDefault="00DD55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Загорский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СК “Радон”,</w:t>
            </w:r>
          </w:p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Лермонтовское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горно-химический  комби</w:t>
            </w:r>
            <w:r>
              <w:rPr>
                <w:rFonts w:ascii="Arial" w:hAnsi="Arial" w:cs="Arial"/>
                <w:sz w:val="22"/>
              </w:rPr>
              <w:t>нат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 w:cs="Arial"/>
                <w:sz w:val="22"/>
              </w:rPr>
              <w:t>Северск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Новосибирское ПО «</w:t>
            </w:r>
            <w:proofErr w:type="spellStart"/>
            <w:r>
              <w:rPr>
                <w:rFonts w:ascii="Arial" w:hAnsi="Arial" w:cs="Arial"/>
                <w:sz w:val="22"/>
              </w:rPr>
              <w:t>Химконцентрат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», </w:t>
            </w:r>
          </w:p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Н</w:t>
            </w:r>
            <w:r>
              <w:rPr>
                <w:rFonts w:ascii="Arial" w:hAnsi="Arial" w:cs="Arial"/>
                <w:sz w:val="22"/>
              </w:rPr>
              <w:t>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Приаргунский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горно-химический комбинат,</w:t>
            </w:r>
          </w:p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«</w:t>
            </w:r>
            <w:proofErr w:type="spellStart"/>
            <w:r>
              <w:rPr>
                <w:rFonts w:ascii="Arial" w:hAnsi="Arial" w:cs="Arial"/>
                <w:sz w:val="22"/>
              </w:rPr>
              <w:t>Чепецкий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DD558A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 w:cs="Arial"/>
                <w:sz w:val="22"/>
              </w:rPr>
              <w:t>Саров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DD558A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</w:tbl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spacing w:line="360" w:lineRule="auto"/>
        <w:jc w:val="center"/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>Начальник Управления мониторинга</w:t>
      </w:r>
      <w:r>
        <w:rPr>
          <w:rFonts w:ascii="Arial" w:hAnsi="Arial" w:cs="Arial"/>
        </w:rPr>
        <w:t xml:space="preserve">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DD55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                                                     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p w:rsidR="00000000" w:rsidRDefault="00DD558A">
      <w:pPr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01974C4"/>
    <w:multiLevelType w:val="hybridMultilevel"/>
    <w:tmpl w:val="3FC83032"/>
    <w:lvl w:ilvl="0" w:tplc="DC88D4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5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558A"/>
    <w:rsid w:val="00D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C7338-7804-408B-9EE9-1CCFEB4A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2">
    <w:name w:val="Body Text Indent 2"/>
    <w:basedOn w:val="a"/>
    <w:semiHidden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20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6">
    <w:name w:val="Normal (Web)"/>
    <w:basedOn w:val="a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