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93" w:rsidRPr="00CD2AAD" w:rsidRDefault="00630E93" w:rsidP="00630E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630E93" w:rsidRPr="00CD2AAD" w:rsidRDefault="00630E93" w:rsidP="00630E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2E24EE" w:rsidRDefault="002E24EE" w:rsidP="002E24E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140-00266/20и  от 17 января 2020 года</w:t>
      </w:r>
    </w:p>
    <w:p w:rsidR="00630E93" w:rsidRPr="00CD2AAD" w:rsidRDefault="00630E93" w:rsidP="00630E9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0E93" w:rsidRPr="00CD2AAD" w:rsidRDefault="00630E93" w:rsidP="00630E9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0E93" w:rsidRPr="00CD2AAD" w:rsidRDefault="00630E93" w:rsidP="00630E9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бре 2019 года</w:t>
      </w:r>
    </w:p>
    <w:p w:rsidR="00630E93" w:rsidRPr="00CD2AAD" w:rsidRDefault="00630E93" w:rsidP="00630E9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0E93" w:rsidRPr="00CD2AAD" w:rsidRDefault="00630E93" w:rsidP="00630E93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 2019 года.</w:t>
      </w:r>
    </w:p>
    <w:p w:rsidR="00630E93" w:rsidRPr="00CD2AAD" w:rsidRDefault="00630E93" w:rsidP="00630E9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630E93" w:rsidRPr="00CD2AAD" w:rsidRDefault="00630E93" w:rsidP="00630E93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630E93" w:rsidRPr="00FE4F32" w:rsidRDefault="00630E93" w:rsidP="00630E9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6 декабря в 4 час.10 мин. на заводе ООО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Капролактам ТС», расположенном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восточной промзоне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 Нижегородской области, произошла утечка 500 л готового продукта для печей, состоящего из смеси окиси этилена (2 класс опасности) с метанолом. Через два часа утечка была устранена, метанол был разбавлен. На момент аварии метеорологические условия (ветер юго-западного направления 3 м/с) способствовали переносу воздушных масс в сторону от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Дзержинска. Кроме того, наблюдались осадки в виде дождя. Специалистами ФГБУ «Верхне-Волжского УГМС» Росгидромета был дополнительно выполнен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с использованием специального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расчет переноса загрязняющих веществ с учетом реальных метеоусловий, который показал, что воздушные массы перемещались от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Дзержинска на северо-запад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удалении от жилых районов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населенные пункты, расположенные за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проб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отобранных сотрудниками Управления Роспотребнадзора по Нижегородской области непосредственно в районе аварии, а также в жилой зоне г.о.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Дзержинск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(пос. Петряевка, Гавриловка и Северный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превышений содержания окиси этилена и метанола не выявили. На стационарных постах государственной наблюдательной сети в г.о.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Дзержинск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г. Нижний Новгород повышенных концентраций загрязняющих веществ не было зарегистрировано. Жалоб населения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Дзержинск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а,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Новгород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населенных пунктов Нижегородской области на неблагоприятное качество атмосферного воздуха не поступало.</w:t>
      </w:r>
    </w:p>
    <w:p w:rsidR="00630E93" w:rsidRPr="00FE4F32" w:rsidRDefault="00630E93" w:rsidP="00630E9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произошедшим 11 декабря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13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50 мин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местного времени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Екатеринбурге на территории ООО «Уральский завод лакокрасочных изделий» возгоранием металлического ангара с готовой продукцией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количеством около 90 тонн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ближайшем стационарном посту государственной наблюдательной сети  был организован учащенный отбор проб атмосферного воздуха. В 15 час.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00 мин. местного времени на указанном стационарном посту концентрация этилбензола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ла 1,4 ПДК</w:t>
      </w:r>
      <w:r w:rsidRPr="00111CD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остальных стационарных постах государственной наблюдательной сети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Екатеринбурга превышений предельно допустимых концентраций загрязняющих веществ в атмосферном воздухе не было зарегистрировано.</w:t>
      </w:r>
    </w:p>
    <w:p w:rsidR="00630E93" w:rsidRDefault="00630E93" w:rsidP="00630E9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произошедшим 16 декабря отравлением через дыхательные пути предположительно углеводородами 8 рабочих на территории предприятия ООО «ЛУКОЙЛ-НИЖЕГОРОДНЕФТЕОРГСИНТЕЗ», расположенного в промышленной зоне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Кстово Нижегородской области,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 ФГБУ «Верхне-Волжское УГМС» Росгидромета был произведен экспедиционный отбор проб атмосферного воздуха в ближайшей к месту происшествия жилой зоне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Кстово. Во время отбора проб воздуха  несвойственный для местности запах не ощущался. Метеорологические условия (ветер юго-западного направления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м/с)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способствовали переносу воздушных масс в сторону города. Результаты анализа отобранных проб воздуха показали, что содержание этилбензола достигало ПДК</w:t>
      </w:r>
      <w:r w:rsidRPr="00CF5CE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содержание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бензола, ксилола, толуола не превышало установле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нных гигиенических нормативов.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стационарных постах государственной наблюдательной сети за загрязнением атмосферного воздуха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Кстово 16 и 17 декабря превышений предельно допустимых концентраций загрязняющих веществ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числе ароматических углеводородов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было зарегистрировано. Жалоб населения на неблагоприятное качество атмосферного воздуха не поступало. Результаты выполненного 17 декабря сотрудниками Управления Роспотребнадзора по Нижегородской области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анализа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нных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 атмосферного воздуха в жилой зоне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4F3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Кстово вблизи места происшествия повышенных концентраций ароматических углеводородов также не выявили.</w:t>
      </w:r>
    </w:p>
    <w:p w:rsidR="00630E93" w:rsidRDefault="00630E93" w:rsidP="00630E93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0E93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декабря в воде реки Раковки (бассейн Амура) в черте г. Уссурийска Приморского края содержание кислорода составляло 0,6 мг/л, что соответствует уровню </w:t>
      </w:r>
    </w:p>
    <w:p w:rsidR="00630E93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567371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экстремально высокого загрязнения (ЭВЗ). По данным ФГБУ «Приморское УГМС» Росгидромета, ЭВЗ было обусловлено сбросом в реку загрязненных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городски</w:t>
      </w:r>
      <w:r w:rsidRPr="00567371">
        <w:rPr>
          <w:rFonts w:ascii="Times New Roman" w:eastAsia="Times New Roman" w:hAnsi="Times New Roman" w:cs="Times New Roman"/>
          <w:sz w:val="24"/>
          <w:szCs w:val="24"/>
          <w:lang w:eastAsia="ru-RU"/>
        </w:rPr>
        <w:t>х сточных вод.</w:t>
      </w:r>
    </w:p>
    <w:p w:rsidR="00630E93" w:rsidRPr="00567371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 декабря в воде реки Дачной (бассейн Амура) в черте г. Арсеньева Приморского края содержание кислорода составляло 0,8 мг/л, что соответствует уровню ЭВЗ. По данным ФГБУ «Приморское УГМС» Росгидромета, ЭВЗ было обусловлено сбросом в реку загрязненных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городски</w:t>
      </w:r>
      <w:r w:rsidRPr="00567371">
        <w:rPr>
          <w:rFonts w:ascii="Times New Roman" w:eastAsia="Times New Roman" w:hAnsi="Times New Roman" w:cs="Times New Roman"/>
          <w:sz w:val="24"/>
          <w:szCs w:val="24"/>
          <w:lang w:eastAsia="ru-RU"/>
        </w:rPr>
        <w:t>х сточных вод.</w:t>
      </w:r>
    </w:p>
    <w:p w:rsidR="00630E93" w:rsidRPr="00CD2AAD" w:rsidRDefault="00630E93" w:rsidP="00630E93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630E93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066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декабре 2019 года случаев экстремально высокого загрязнения (ЭВЗ</w:t>
      </w:r>
      <w:r w:rsidRPr="00DF6B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B0664D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B06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декабре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B066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630E93" w:rsidRPr="00CD2AAD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 2019 года на территории Российской Федерации случаи ЭВЗ поверхностных вод веществами 1-го и 2-го классов опасности (превышение ПДК</w:t>
      </w:r>
      <w:r w:rsidRPr="00DF6B2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бре 2018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были зарегистрированы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630E93" w:rsidRDefault="00630E93" w:rsidP="00630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36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630E93" w:rsidRPr="0099404D" w:rsidRDefault="00630E93" w:rsidP="00630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99404D" w:rsidRDefault="00630E93" w:rsidP="00630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630E93" w:rsidRDefault="00630E93" w:rsidP="00630E9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30E93" w:rsidRPr="00CD2AAD" w:rsidRDefault="00630E93" w:rsidP="00630E9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рыбохозяйственных водных объектов</w:t>
      </w:r>
    </w:p>
    <w:p w:rsidR="00630E93" w:rsidRPr="00CD2AAD" w:rsidRDefault="00630E93" w:rsidP="00630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бре 2019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 водных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бре 2018 года –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41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630E93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Пеpечень случаев ЭВЗ представлен в приложении 1. </w:t>
      </w:r>
    </w:p>
    <w:p w:rsidR="00630E93" w:rsidRPr="00CD2AAD" w:rsidRDefault="00630E93" w:rsidP="00630E9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30E93" w:rsidRPr="00CD2AAD" w:rsidRDefault="00630E93" w:rsidP="00630E93">
      <w:pPr>
        <w:spacing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630E93" w:rsidRPr="00CD2AAD" w:rsidRDefault="00630E93" w:rsidP="00630E93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630E93" w:rsidRPr="00204478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552A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веществом 1 класса опасности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бенз(а)пиреном</w:t>
      </w:r>
      <w:r w:rsidRPr="00552A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Иркутске (2 случая, 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15,6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г.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Шелехове Иркутской области (1 случай, 13,4 ПДК). </w:t>
      </w:r>
    </w:p>
    <w:p w:rsidR="00630E93" w:rsidRPr="00204478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декабре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атмосферном воздухе 2 городов в 3 случаях были зарегистрированы концентрации загрязняющего вещества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10 ПДК и более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декабре 2018 года – в 8 городах в 13 случаях).</w:t>
      </w:r>
    </w:p>
    <w:p w:rsidR="00630E93" w:rsidRPr="00204478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отопительным сезоном на постах государственной наблюдательной сети были зарегистрированы высокие среднемесячные концентрации вещества 1 класса опасности - бенз(а)пирена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Чите Забайкальского края (3 случ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ая, до 58,7 ПДК), в Республике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Буряти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Улан-Удэ (2 случая, до 37,0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Селенгинске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(1 случай, 22,3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сравнения: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декабре 2018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ВЗ были зарегистрированы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3 населенных пунктах в 6 случаях.</w:t>
      </w:r>
    </w:p>
    <w:p w:rsidR="00630E93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в справке об аварийном, экстремально высоком и высоком загрязнении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й среды и радиационной обстановке на территории России в ноябре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случаях высокого загрязнения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сообщаем, что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случаи ВЗ атмосферного воздуха веществом 1 класса опасности - бенз(а)пиреном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Иркутске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 случая, до 13,4 ПДК)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Шелехове Иркутской области (2 случая, до 13,6 ПДК).</w:t>
      </w:r>
    </w:p>
    <w:p w:rsidR="00630E93" w:rsidRPr="00CD2AAD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630E93" w:rsidRPr="00CD2AAD" w:rsidRDefault="00630E93" w:rsidP="00630E9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</w:t>
      </w:r>
      <w:bookmarkStart w:id="0" w:name="_GoBack"/>
      <w:bookmarkEnd w:id="0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м.р.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630E93" w:rsidRPr="00CD2AAD" w:rsidRDefault="00630E93" w:rsidP="00630E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приведена максимальная из среднемесячных концентрация,  так как для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бенз(а)пирена установлена только 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с.с.</w:t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Одновременно отмечаем, что в справке об аварийном, экстремально высоком и высоком загрязнении природной среды и радиационной обстановке на территории России в октябре 2019 г. была ошибочно представлена информация о случаях высокого загрязнения атмосферного воздуха бенз(а)пиреном по среднесуточным концентрациям. Учитывая хроническое воздействие сверхнормативных концентраций бенз(а)пирена в атмосферном воздухе на человека, в качестве основных характеристик загрязнения данным веществом используются среднемесячные и среднегодовые концентрации. В октябре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среднемесячные концентрации бенз(а)пирена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Иркутске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г. 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Шелехове Иркутской области не превышали 10 ПДК. В этой связи в октябре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2044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высокого загрязнения атмосферного воздуха загрязняющими веществами не было зарегистрировано.</w:t>
      </w:r>
    </w:p>
    <w:p w:rsidR="00630E93" w:rsidRPr="00CD2AAD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 2019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139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108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случаев высокого загрязнения водных объектов приведен                            в приложении 2.</w:t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630E93" w:rsidRPr="00CD2AAD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30E93" w:rsidRPr="00CD2AAD" w:rsidRDefault="00630E93" w:rsidP="00630E93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630E93" w:rsidRPr="00CD2AAD" w:rsidTr="00630E93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31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CD2AAD" w:rsidTr="00630E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630E93" w:rsidRPr="00CD2AAD" w:rsidRDefault="00630E93" w:rsidP="00630E93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630E93" w:rsidRPr="00CD2AAD" w:rsidRDefault="00630E93" w:rsidP="00630E9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630E93" w:rsidRPr="00CD2AAD" w:rsidRDefault="00630E93" w:rsidP="00630E9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30E93" w:rsidRPr="00CD2AAD" w:rsidRDefault="00630E93" w:rsidP="00630E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630E93" w:rsidRPr="00CD2AAD" w:rsidTr="00630E93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48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48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Легкоокисляемые органические вещества по БПК</w:t>
            </w:r>
            <w:r w:rsidRPr="008248E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027FD5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027FD5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630E93" w:rsidRPr="00CD2AAD" w:rsidTr="00630E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E93" w:rsidRPr="00CD2AAD" w:rsidRDefault="00630E93" w:rsidP="00630E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E93" w:rsidRPr="00CD2AAD" w:rsidRDefault="00630E93" w:rsidP="00630E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630E93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630E93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0E93" w:rsidRPr="0089504C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декабре 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орый определялся СИ=1 и НП=1%. 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диоксида азота. Наибольшая концентрация диоксида азота,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вшая 1,2 ПДК</w:t>
      </w:r>
      <w:r w:rsidRPr="008950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была зарегистрирована 5 декабря в Южном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 «Зябликово»).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 по городу </w:t>
      </w:r>
    </w:p>
    <w:p w:rsidR="00630E93" w:rsidRPr="00CD2AAD" w:rsidRDefault="00630E93" w:rsidP="00630E93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630E93" w:rsidRPr="00CD2AAD" w:rsidRDefault="00630E93" w:rsidP="00630E9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630E93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30E93" w:rsidRPr="00CD2AAD" w:rsidRDefault="00630E93" w:rsidP="00630E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0E93" w:rsidRDefault="00630E93" w:rsidP="00630E93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0E93" w:rsidRPr="0089504C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ла 1,5 ПДК</w:t>
      </w:r>
      <w:r w:rsidRPr="008950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Содержание других 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еделяемых загрязняющих веществ </w:t>
      </w:r>
      <w:r w:rsidRPr="0089504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превышало ПДК</w:t>
      </w:r>
      <w:r w:rsidRPr="0089504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</w:p>
    <w:p w:rsidR="00630E93" w:rsidRPr="003C7570" w:rsidRDefault="00630E93" w:rsidP="00630E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30E93" w:rsidRPr="00876345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Радиационная обстановка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декабре 2019 года в целом была 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ьных выпадений, а также аварий 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Чернобыльской АЭС и ФГУП «ПО «Маяк», и были на 2 - 7 порядков ниже установленных допустимых уровней в соответствии с гигиеническими нормативами.</w:t>
      </w:r>
    </w:p>
    <w:p w:rsidR="00630E93" w:rsidRPr="00876345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регистрации повышенной суммарной плотности радиоактивных выпадений из воздуха, обусловленные естественными процессами, отмечались в четырех случаях в двух населенных пунктах: в г. Норильске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Красноярского края (в период 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16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17 декабря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г. Астрахани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 11 по 16 декабря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0E93" w:rsidRPr="00876345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повышенной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630E93" w:rsidRPr="00876345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 мощности амбиентного эквивалента дозы (МАЭД)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расположения АЭС и других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адиационно 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0,05 до 0,24 мкЗв/ч, что соответствует уровням естественного радиационного фона.  </w:t>
      </w:r>
    </w:p>
    <w:p w:rsidR="00630E93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100-км зонах радиационно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</w:t>
      </w:r>
      <w:r w:rsidRPr="008763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630E93" w:rsidRPr="00CD2AAD" w:rsidRDefault="00630E93" w:rsidP="00630E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630E93" w:rsidRPr="00CD2AAD" w:rsidRDefault="00630E93" w:rsidP="00630E9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уководитель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CD2AAD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145D" w:rsidRDefault="00DE145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0E93" w:rsidRDefault="00630E93" w:rsidP="00630E93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630E93" w:rsidRDefault="00630E93" w:rsidP="00630E93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30E93" w:rsidRPr="00101D51" w:rsidRDefault="00630E93" w:rsidP="00630E93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9B3625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120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2"/>
        <w:gridCol w:w="2569"/>
        <w:gridCol w:w="2214"/>
        <w:gridCol w:w="2503"/>
        <w:gridCol w:w="1708"/>
      </w:tblGrid>
      <w:tr w:rsidR="00630E93" w:rsidRPr="009B3625" w:rsidTr="00630E93">
        <w:trPr>
          <w:cantSplit/>
          <w:trHeight w:val="28"/>
          <w:tblHeader/>
        </w:trPr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503" w:type="dxa"/>
            <w:tcBorders>
              <w:bottom w:val="single" w:sz="4" w:space="0" w:color="auto"/>
            </w:tcBorders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630E93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630E93" w:rsidRPr="009B3625" w:rsidTr="00630E93">
        <w:trPr>
          <w:cantSplit/>
        </w:trPr>
        <w:tc>
          <w:tcPr>
            <w:tcW w:w="9696" w:type="dxa"/>
            <w:gridSpan w:val="5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 1 класса опасности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250 м ниже выпуска №1 "РУСАЛ Кандалакша"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енз(а)пирен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50 м выше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2-го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автомоста "РУСАЛ Кандалакша"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енз(а)пирен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Кандалакша, 500 м ниже выпуска №1 "РУСАЛ Кандалакша"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енз(а)пирен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9" w:type="dxa"/>
          </w:tcPr>
          <w:p w:rsidR="00630E93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Пышма,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Березовский 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ышьяк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30E93" w:rsidRPr="009B3625" w:rsidTr="00630E93">
        <w:trPr>
          <w:cantSplit/>
        </w:trPr>
        <w:tc>
          <w:tcPr>
            <w:tcW w:w="9696" w:type="dxa"/>
            <w:gridSpan w:val="5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2 класса опасности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69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Модонкуль,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Закаменск</w:t>
            </w:r>
          </w:p>
        </w:tc>
        <w:tc>
          <w:tcPr>
            <w:tcW w:w="2214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503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630E93" w:rsidRPr="009B3625" w:rsidTr="00630E93">
        <w:trPr>
          <w:cantSplit/>
        </w:trPr>
        <w:tc>
          <w:tcPr>
            <w:tcW w:w="9696" w:type="dxa"/>
            <w:gridSpan w:val="5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 3 класса опасности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69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(Левая) Силинка,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пгт. Солнечный</w:t>
            </w:r>
          </w:p>
        </w:tc>
        <w:tc>
          <w:tcPr>
            <w:tcW w:w="2214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3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69" w:type="dxa"/>
          </w:tcPr>
          <w:p w:rsidR="00630E93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Амгунь,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им.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Осипенко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Блява, г. Медногорск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9" w:type="dxa"/>
          </w:tcPr>
          <w:p w:rsidR="00630E93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Колос-Йоки,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Никель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Ляля, г. Новая Ляля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Модонкуль,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Закаменск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97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69" w:type="dxa"/>
          </w:tcPr>
          <w:p w:rsidR="00630E93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Нюдуай, </w:t>
            </w:r>
          </w:p>
          <w:p w:rsidR="00630E93" w:rsidRPr="009B3625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Мончегорск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30E93" w:rsidRPr="009B3625" w:rsidTr="00630E93">
        <w:trPr>
          <w:cantSplit/>
        </w:trPr>
        <w:tc>
          <w:tcPr>
            <w:tcW w:w="9696" w:type="dxa"/>
            <w:gridSpan w:val="5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lastRenderedPageBreak/>
              <w:t>Вещества 4 класса опасности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вдхр. Новосибирское,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оз. Бутырино,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с. Бутырино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Айва, 18,6 км выше устья, г. Красноуральск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Айва, 22,9 км выше устья, г. Красноуральск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82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69" w:type="dxa"/>
            <w:vMerge w:val="restart"/>
          </w:tcPr>
          <w:p w:rsidR="00630E93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Амгунь,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им.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Осипенко</w:t>
            </w:r>
          </w:p>
        </w:tc>
        <w:tc>
          <w:tcPr>
            <w:tcW w:w="2214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Березовка,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Березовский,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км выше устья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Дачная, г. Арсеньев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Ельцовка 1,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Марганец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Кая, г. Иркутск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Модонкуль,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Закаменск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69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Надым, г. Надым</w:t>
            </w:r>
          </w:p>
        </w:tc>
        <w:tc>
          <w:tcPr>
            <w:tcW w:w="2214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Нижняя Ельцовка,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Новосибирск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Патрушиха,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Екатеринбург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Плющиха,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Новосибирск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69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Правая Хетта,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пгт. Пангоды</w:t>
            </w:r>
          </w:p>
        </w:tc>
        <w:tc>
          <w:tcPr>
            <w:tcW w:w="2214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Пур, п. Уренгой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69" w:type="dxa"/>
          </w:tcPr>
          <w:p w:rsidR="00630E93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Раковка,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Уссурийск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0,6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Теча, с. Першинское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346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19</w:t>
            </w:r>
          </w:p>
        </w:tc>
        <w:tc>
          <w:tcPr>
            <w:tcW w:w="2569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Тула, г. Новосибирск</w:t>
            </w:r>
          </w:p>
        </w:tc>
        <w:tc>
          <w:tcPr>
            <w:tcW w:w="2214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03" w:type="dxa"/>
            <w:vMerge w:val="restart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  <w:vMerge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69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14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vMerge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р. Ук, г. Заводоуковск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85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69" w:type="dxa"/>
          </w:tcPr>
          <w:p w:rsidR="00630E93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Уфа,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Красноуфимск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</w:t>
            </w:r>
          </w:p>
        </w:tc>
      </w:tr>
      <w:tr w:rsidR="00630E93" w:rsidRPr="009B3625" w:rsidTr="00630E93">
        <w:trPr>
          <w:cantSplit/>
        </w:trPr>
        <w:tc>
          <w:tcPr>
            <w:tcW w:w="702" w:type="dxa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69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Хейги-Яха, </w:t>
            </w:r>
          </w:p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Лонг-Юган</w:t>
            </w:r>
          </w:p>
        </w:tc>
        <w:tc>
          <w:tcPr>
            <w:tcW w:w="2214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503" w:type="dxa"/>
          </w:tcPr>
          <w:p w:rsidR="00630E93" w:rsidRPr="009B3625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630E93" w:rsidRPr="009B362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B36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630E93" w:rsidRPr="009B3625" w:rsidRDefault="00630E93" w:rsidP="00630E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0E93" w:rsidRPr="009B3625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15B3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630E93" w:rsidRPr="00A515B3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Default="00630E93" w:rsidP="00630E93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0E93" w:rsidRDefault="00630E93" w:rsidP="00630E93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0E93" w:rsidRDefault="00630E93" w:rsidP="00630E93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0E93" w:rsidRPr="00AF319F" w:rsidRDefault="00630E93" w:rsidP="00630E93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0E93" w:rsidRDefault="00630E93" w:rsidP="00630E9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630E93" w:rsidRDefault="00630E93" w:rsidP="00630E93"/>
    <w:p w:rsidR="00630E93" w:rsidRDefault="00630E93" w:rsidP="00630E93"/>
    <w:p w:rsidR="00630E93" w:rsidRDefault="00630E93" w:rsidP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Pr="00925BF6" w:rsidRDefault="00630E93" w:rsidP="00630E93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630E93" w:rsidRPr="005174E8" w:rsidRDefault="00630E93" w:rsidP="00630E93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30E93" w:rsidRDefault="00630E93" w:rsidP="00630E9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декабр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30E93" w:rsidRPr="007E0709" w:rsidRDefault="00630E93" w:rsidP="00630E93">
      <w:pPr>
        <w:spacing w:before="120" w:after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224"/>
        <w:gridCol w:w="2288"/>
        <w:gridCol w:w="1134"/>
        <w:gridCol w:w="1059"/>
        <w:gridCol w:w="1135"/>
        <w:gridCol w:w="1171"/>
      </w:tblGrid>
      <w:tr w:rsidR="00630E93" w:rsidRPr="00337A5B" w:rsidTr="00630E93">
        <w:trPr>
          <w:cantSplit/>
          <w:trHeight w:val="616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 опасн.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630E93" w:rsidRPr="00337A5B" w:rsidTr="00630E93">
        <w:trPr>
          <w:cantSplit/>
        </w:trPr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Амур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Амурская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Забайкальский край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3647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 край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34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Ангара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Москва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14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6059C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13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5E3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7D09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Бурятия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Ямало-Ненецкий автономный округ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30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Легкоокисляемые органические вещества по 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E0587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Трудноокисляемые органические вещества по 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20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33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Урал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30E93" w:rsidRPr="00337A5B" w:rsidTr="00630E93">
        <w:tc>
          <w:tcPr>
            <w:tcW w:w="9469" w:type="dxa"/>
            <w:gridSpan w:val="7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 реки, озера, водохранилища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г. Санкт-Петербург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11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 край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630E93" w:rsidRPr="00337A5B" w:rsidTr="00630E93">
        <w:tc>
          <w:tcPr>
            <w:tcW w:w="429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 область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43</w:t>
            </w:r>
          </w:p>
        </w:tc>
      </w:tr>
      <w:tr w:rsidR="00630E93" w:rsidRPr="00337A5B" w:rsidTr="00630E93">
        <w:tc>
          <w:tcPr>
            <w:tcW w:w="429" w:type="dxa"/>
            <w:vMerge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16</w:t>
            </w:r>
          </w:p>
        </w:tc>
      </w:tr>
      <w:tr w:rsidR="00630E93" w:rsidRPr="00337A5B" w:rsidTr="00630E93">
        <w:tc>
          <w:tcPr>
            <w:tcW w:w="429" w:type="dxa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 край</w:t>
            </w:r>
          </w:p>
        </w:tc>
        <w:tc>
          <w:tcPr>
            <w:tcW w:w="2291" w:type="dxa"/>
          </w:tcPr>
          <w:p w:rsidR="00630E93" w:rsidRPr="00337A5B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630E93" w:rsidRPr="00337A5B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337A5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</w:tbl>
    <w:p w:rsidR="00630E93" w:rsidRPr="00337A5B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630E93" w:rsidRPr="00337A5B" w:rsidRDefault="00630E93" w:rsidP="00630E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0E93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925BF6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Default="00630E93" w:rsidP="00630E9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 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Ю.В. Пешков </w:t>
      </w:r>
    </w:p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Default="00630E93"/>
    <w:p w:rsidR="00630E93" w:rsidRPr="005B2405" w:rsidRDefault="00630E93" w:rsidP="00630E93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4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3</w:t>
      </w: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B2405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Схема г. Москвы с расположением постов государственной наблюдательной сети</w:t>
      </w: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B2405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B240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64595EE2" wp14:editId="5399FC23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630E93" w:rsidRPr="005B2405" w:rsidRDefault="00630E93" w:rsidP="00630E93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630E93" w:rsidRPr="005B2405" w:rsidRDefault="00630E93" w:rsidP="00630E93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630E93" w:rsidRPr="005B2405" w:rsidTr="00630E93">
        <w:tc>
          <w:tcPr>
            <w:tcW w:w="95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630E93" w:rsidRPr="005B2405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2405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630E93" w:rsidRPr="005B2405" w:rsidRDefault="00630E93" w:rsidP="00630E93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630E93" w:rsidRPr="005B2405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630E93" w:rsidRPr="005B2405" w:rsidRDefault="00630E93" w:rsidP="00630E93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5B2405" w:rsidRDefault="00630E93" w:rsidP="00630E93">
      <w:pPr>
        <w:rPr>
          <w:rFonts w:ascii="Calibri" w:eastAsia="Times New Roman" w:hAnsi="Calibri" w:cs="Times New Roman"/>
          <w:lang w:eastAsia="ru-RU"/>
        </w:rPr>
      </w:pPr>
    </w:p>
    <w:p w:rsidR="00630E93" w:rsidRPr="005B2405" w:rsidRDefault="00630E93" w:rsidP="00630E93"/>
    <w:p w:rsidR="00630E93" w:rsidRPr="005B2405" w:rsidRDefault="00630E93" w:rsidP="00630E93"/>
    <w:p w:rsidR="00630E93" w:rsidRPr="005B2405" w:rsidRDefault="00630E93" w:rsidP="00630E93"/>
    <w:p w:rsidR="00630E93" w:rsidRPr="005B2405" w:rsidRDefault="00630E93" w:rsidP="00630E93"/>
    <w:p w:rsidR="00630E93" w:rsidRDefault="00630E93" w:rsidP="00630E93"/>
    <w:p w:rsidR="00630E93" w:rsidRDefault="00630E93"/>
    <w:p w:rsidR="00630E93" w:rsidRDefault="00630E93"/>
    <w:p w:rsidR="00630E93" w:rsidRDefault="00630E93"/>
    <w:p w:rsidR="00630E93" w:rsidRDefault="00630E93"/>
    <w:p w:rsidR="00630E93" w:rsidRPr="004A6E84" w:rsidRDefault="00630E93" w:rsidP="00630E93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4</w:t>
      </w:r>
    </w:p>
    <w:p w:rsidR="00630E93" w:rsidRPr="004A6E84" w:rsidRDefault="00630E93" w:rsidP="00630E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74E8" w:rsidRDefault="005174E8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4A6E84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630E93" w:rsidRPr="004A6E84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630E93" w:rsidRPr="004A6E84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630E93" w:rsidRDefault="00630E93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174E8" w:rsidRPr="005174E8" w:rsidRDefault="005174E8" w:rsidP="00630E9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630E93" w:rsidRPr="004A6E84" w:rsidTr="00630E93">
        <w:trPr>
          <w:cantSplit/>
        </w:trPr>
        <w:tc>
          <w:tcPr>
            <w:tcW w:w="6379" w:type="dxa"/>
            <w:vMerge w:val="restart"/>
            <w:vAlign w:val="center"/>
          </w:tcPr>
          <w:p w:rsidR="00630E93" w:rsidRPr="004A6E84" w:rsidRDefault="00630E93" w:rsidP="00630E93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630E93" w:rsidRDefault="00630E93" w:rsidP="00630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(мкЗв/ч)</w:t>
            </w:r>
          </w:p>
        </w:tc>
      </w:tr>
      <w:tr w:rsidR="00630E93" w:rsidRPr="004A6E84" w:rsidTr="00630E93">
        <w:trPr>
          <w:cantSplit/>
        </w:trPr>
        <w:tc>
          <w:tcPr>
            <w:tcW w:w="6379" w:type="dxa"/>
            <w:vMerge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552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cantSplit/>
          <w:trHeight w:val="60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630E93" w:rsidRPr="004A6E84" w:rsidTr="00630E93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0,22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0,22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Краснокаменск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630E93" w:rsidRPr="004A6E84" w:rsidRDefault="00630E93" w:rsidP="00630E93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0,24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630E93" w:rsidRPr="004A6E84" w:rsidTr="00630E93">
        <w:trPr>
          <w:trHeight w:val="40"/>
        </w:trPr>
        <w:tc>
          <w:tcPr>
            <w:tcW w:w="6379" w:type="dxa"/>
            <w:vAlign w:val="center"/>
          </w:tcPr>
          <w:p w:rsidR="00630E93" w:rsidRPr="004A6E84" w:rsidRDefault="00630E93" w:rsidP="00630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630E93" w:rsidRPr="004A6E84" w:rsidRDefault="00630E93" w:rsidP="00630E9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</w:tbl>
    <w:p w:rsidR="00630E93" w:rsidRPr="004A6E84" w:rsidRDefault="00630E93" w:rsidP="00630E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4A6E84" w:rsidRDefault="00630E93" w:rsidP="00630E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4A6E84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4A6E84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Pr="004A6E84" w:rsidRDefault="00630E93" w:rsidP="00630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630E93" w:rsidRPr="004A6E84" w:rsidRDefault="00630E93" w:rsidP="00630E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0E93" w:rsidRDefault="00630E93" w:rsidP="00630E93"/>
    <w:p w:rsidR="00630E93" w:rsidRDefault="00630E93" w:rsidP="00630E93"/>
    <w:p w:rsidR="00630E93" w:rsidRDefault="00630E93" w:rsidP="00630E93"/>
    <w:p w:rsidR="00630E93" w:rsidRDefault="00630E93"/>
    <w:sectPr w:rsidR="00630E93" w:rsidSect="00630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35A" w:rsidRDefault="005F735A">
      <w:pPr>
        <w:spacing w:after="0" w:line="240" w:lineRule="auto"/>
      </w:pPr>
      <w:r>
        <w:separator/>
      </w:r>
    </w:p>
  </w:endnote>
  <w:endnote w:type="continuationSeparator" w:id="0">
    <w:p w:rsidR="005F735A" w:rsidRDefault="005F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93" w:rsidRDefault="00630E9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93" w:rsidRDefault="00630E9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93" w:rsidRDefault="00630E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35A" w:rsidRDefault="005F735A">
      <w:pPr>
        <w:spacing w:after="0" w:line="240" w:lineRule="auto"/>
      </w:pPr>
      <w:r>
        <w:separator/>
      </w:r>
    </w:p>
  </w:footnote>
  <w:footnote w:type="continuationSeparator" w:id="0">
    <w:p w:rsidR="005F735A" w:rsidRDefault="005F7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93" w:rsidRDefault="00630E9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630E93" w:rsidRDefault="00630E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4EE">
          <w:rPr>
            <w:noProof/>
          </w:rPr>
          <w:t>5</w:t>
        </w:r>
        <w:r>
          <w:fldChar w:fldCharType="end"/>
        </w:r>
      </w:p>
    </w:sdtContent>
  </w:sdt>
  <w:p w:rsidR="00630E93" w:rsidRDefault="00630E9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93" w:rsidRDefault="00630E93">
    <w:pPr>
      <w:pStyle w:val="a3"/>
      <w:jc w:val="center"/>
    </w:pPr>
  </w:p>
  <w:p w:rsidR="00630E93" w:rsidRDefault="00630E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C3"/>
    <w:rsid w:val="002E24EE"/>
    <w:rsid w:val="005174E8"/>
    <w:rsid w:val="005F735A"/>
    <w:rsid w:val="00630E93"/>
    <w:rsid w:val="006F33C3"/>
    <w:rsid w:val="00DE145D"/>
    <w:rsid w:val="00E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E93"/>
  </w:style>
  <w:style w:type="paragraph" w:styleId="a5">
    <w:name w:val="footer"/>
    <w:basedOn w:val="a"/>
    <w:link w:val="a6"/>
    <w:uiPriority w:val="99"/>
    <w:unhideWhenUsed/>
    <w:rsid w:val="00630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E93"/>
  </w:style>
  <w:style w:type="paragraph" w:styleId="a7">
    <w:name w:val="Balloon Text"/>
    <w:basedOn w:val="a"/>
    <w:link w:val="a8"/>
    <w:uiPriority w:val="99"/>
    <w:semiHidden/>
    <w:unhideWhenUsed/>
    <w:rsid w:val="0063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E93"/>
  </w:style>
  <w:style w:type="paragraph" w:styleId="a5">
    <w:name w:val="footer"/>
    <w:basedOn w:val="a"/>
    <w:link w:val="a6"/>
    <w:uiPriority w:val="99"/>
    <w:unhideWhenUsed/>
    <w:rsid w:val="00630E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E93"/>
  </w:style>
  <w:style w:type="paragraph" w:styleId="a7">
    <w:name w:val="Balloon Text"/>
    <w:basedOn w:val="a"/>
    <w:link w:val="a8"/>
    <w:uiPriority w:val="99"/>
    <w:semiHidden/>
    <w:unhideWhenUsed/>
    <w:rsid w:val="0063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3536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2020-01-20T14:07:00Z</dcterms:created>
  <dcterms:modified xsi:type="dcterms:W3CDTF">2020-01-20T14:07:00Z</dcterms:modified>
</cp:coreProperties>
</file>