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89" w:rsidRPr="00CD2AAD" w:rsidRDefault="00741289" w:rsidP="00741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CD2AAD" w:rsidRDefault="00741289" w:rsidP="00741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131FA7" w:rsidP="007412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31FA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140-05788/20и  от 20 августа 2020 года</w:t>
      </w:r>
      <w:bookmarkStart w:id="0" w:name="_GoBack"/>
      <w:bookmarkEnd w:id="0"/>
    </w:p>
    <w:p w:rsidR="00741289" w:rsidRPr="00CD2AAD" w:rsidRDefault="00741289" w:rsidP="00741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741289" w:rsidRDefault="00741289" w:rsidP="007412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41289" w:rsidRPr="00CD2AAD" w:rsidRDefault="00741289" w:rsidP="007412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41289" w:rsidRPr="00CD2AAD" w:rsidRDefault="00741289" w:rsidP="007412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41289" w:rsidRPr="00CD2AAD" w:rsidRDefault="00741289" w:rsidP="007412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741289" w:rsidRPr="00CD2AAD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741289" w:rsidRPr="00CD2AAD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741289" w:rsidRPr="00CD2AAD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741289" w:rsidRPr="00CD2AAD" w:rsidRDefault="00741289" w:rsidP="007412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1289" w:rsidRDefault="00741289" w:rsidP="007412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1289" w:rsidRPr="00CD2AAD" w:rsidRDefault="00741289" w:rsidP="00741289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741289" w:rsidRPr="00CD2AAD" w:rsidRDefault="00741289" w:rsidP="00741289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741289" w:rsidRPr="00CD2AAD" w:rsidRDefault="00741289" w:rsidP="0074128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741289" w:rsidRPr="0051083B" w:rsidRDefault="00741289" w:rsidP="0074128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аварией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произошедшей 2 июля на технологическом газопроводе 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сжиженными фракциями легких углевод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ородов, расположенном в районе населенного пункта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Подстепновка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муниципального района Волжский Самарской области, было эвакуировано население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н.п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Подстепновка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СДТ в районе порыва газопровода. На момент аварии отмечался штиль, скорость ветра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составляла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0 м/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рамках проведения аварийных работ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лся отжиг газа в технологических колодцах в районе населенного пункта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Лопатино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Волжского района и вблизи восточной окраины города Новокуйбышевска.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ФГБУ «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Приволжское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организован экспедиционный отбор проб атмосферного воздуха в населенных пунктах муниципального района Волжский Самарской области - Верхняя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Подстепновка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Лопатино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в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Новокуйбышевск. Результаты анализа отобранных проб воздуха превышений предельно допустимых концентраций загрязняющих веществ (в том числе предельных углеводородов)  не выявили.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информац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АО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Нефтегорский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нефтеперерабатывающий завод»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дачных массивов и населенных пунктов в районе аварии превышений предельно допустимых концентраций загрязняющих веществ также не было зафиксировано.</w:t>
      </w:r>
    </w:p>
    <w:p w:rsidR="00741289" w:rsidRPr="0051083B" w:rsidRDefault="00741289" w:rsidP="0074128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связи с возгоранием на реакторе установки по производству дизельного топлива (факельное горение)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745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произошедшим 7 июля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45D6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74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Самарской области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АО «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Сызранский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НПЗ»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превышений предельно допустимых концентраций загрязняющих веществ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числе продуктов горения и суммарных углеводородов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ближайших к месту инцидента двух стационарных постах государственной наблюдательной сети за загрязнением атмосферного воздуха не было зарегистрировано.</w:t>
      </w:r>
      <w:proofErr w:type="gramEnd"/>
    </w:p>
    <w:p w:rsidR="00741289" w:rsidRPr="0051083B" w:rsidRDefault="00741289" w:rsidP="0074128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пожаром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74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произошедшим 13 июля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складе полиэтиленовой и лакокрасочной продукции в Советском районе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пожара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10 тыс.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специалистами ФГБУ «Приволжское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всего периода ликвидации пожара (до 15 июля) проводился отбор проб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атмосферного воздуха на улицах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Советского и Ленинского районов города для определения содержания в воздухе продуктов горения и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специфических загрязняющих веществ, а также на стационарных постах государственной наблюдательной сети.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проб превышений предельно допустимых концентраций загрязняющих веществ не выявили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исключением 13 июля, когда на стационарном посту, расположенном в Промышленном районе города, в 19</w:t>
      </w:r>
      <w:r w:rsidRPr="007745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концентрация аммиака достигала 1,3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45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7745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со второй половины дня 13 июля метеорологические условия (ветер восточного – юго-восточного направления 3-4 м/с </w:t>
      </w:r>
      <w:proofErr w:type="spellStart"/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порывами до 13 м/с в вечернее время) способствовали переносу дыма в жилые районы города. </w:t>
      </w:r>
    </w:p>
    <w:p w:rsidR="00741289" w:rsidRPr="0051083B" w:rsidRDefault="00741289" w:rsidP="0074128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введением 16 июля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Администрацией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 «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Ташлинский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Оренбургской области режима ЧС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муниципального характера, связанной с пожаром лесных насаждений на площади порядка 450 га в районе населенных пунктов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анее,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Иртек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специалистами ФГБУ «Приволжское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июля было организовано экспедиционное обследование состояния атмосферного воздуха в указанных населенных пунктах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Ташлинского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района. Результаты анализа отобранных проб воздуха показали, что концентрации взвешенных веществ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</w:t>
      </w: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Ранее – 1,4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4F6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774F6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Иртек</w:t>
      </w:r>
      <w:proofErr w:type="spell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1,2 </w:t>
      </w:r>
      <w:proofErr w:type="spell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74F6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774F6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741289" w:rsidRDefault="00741289" w:rsidP="0074128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22 июля разливом азотной кислоты технической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57% концентрации объемом 100 л на территории АО «Ижевский механический завод»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(г.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Республики Удмурти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специалистами ФГБУ «Верхне-Волжское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произведен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направления ветра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экспедиционный отбор проб атмосферного воздуха в ближайших трех жилых районах.</w:t>
      </w:r>
      <w:proofErr w:type="gramEnd"/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аварии отмечался ветер восточного направления 8 м/с. Результаты анализа отобранных проб воздуха превышений предельно допустимых концентраций аммиака, диоксида и оксида азота не выявили. </w:t>
      </w:r>
      <w:r w:rsidRPr="0051083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41289" w:rsidRDefault="00741289" w:rsidP="00741289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опубликованной в СМИ информацией о загрязнении нефтепродуктами воды в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Бутаковском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заливе (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водохранилище) в районе административной границы между городами Химки (Московская область) и Москва 2 июля специалистами ФГБУ "Центральное УГМС" Росгидромета было проведено визуальное обследование акваторий Химкинского водохранилища, канала им. Москвы и реки Москвы. В результате проведенного обследования был выявлен участок акватории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Бутаковского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залива площадью около 0,0185 км</w:t>
      </w:r>
      <w:proofErr w:type="gramStart"/>
      <w:r w:rsidRPr="005E57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покрытый нефтяной пленкой. </w:t>
      </w:r>
      <w:proofErr w:type="gram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сновании химического анализа проб воды, отобранных в 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контрольных точках (т. 1 -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 – г. Химки, 0,1 км выше МКАД; т. 2 –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Бутаковский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 /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водохранилище/ – г. Химки, 0,1 км выше автодорожного моста МКАД; т. 3 –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Бутаковский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 /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водохранилище/ – г. Москва, ул. Свободы, д. 70; т. 4 –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 – г. Москва, причал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Захарково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5 –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Химкинское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водохранилище –           г. Москва, ул. Лодочная, д. 14; т. 6 – канал им. Москвы – г. Москва, 0,1 км выше моста Волоколамского шоссе;</w:t>
      </w:r>
      <w:proofErr w:type="gram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7 – р. Москва – г. Москва, 0,1 км выше Строгинского моста)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было установлено, что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инимальная концентрация растворенного в воде кислорода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(4,12 мг/л)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 w:rsidRPr="00531077">
        <w:t xml:space="preserve"> </w:t>
      </w:r>
      <w:r w:rsidRPr="005310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повышенное содержание нефтепродуктов (20 ПДК</w:t>
      </w:r>
      <w:r w:rsidRPr="00C97BC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5310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отмечались</w:t>
      </w:r>
      <w:r w:rsidRPr="00531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створе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Бутаковского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залива у г. Химки в 0,1 км выше автодорожного моста МКАД.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DC740E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данным ФГБУ «</w:t>
      </w:r>
      <w:proofErr w:type="spellStart"/>
      <w:r w:rsidRPr="00DC740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Центррегионводхоз</w:t>
      </w:r>
      <w:proofErr w:type="spellEnd"/>
      <w:r w:rsidRPr="00DC7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(лицензиат Росгидромета), 8 июля содержание нефтепродуктов в воде залива ниже зоны локализации нефтяного пятна не превышало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C740E">
        <w:rPr>
          <w:rFonts w:ascii="Times New Roman" w:eastAsia="Times New Roman" w:hAnsi="Times New Roman" w:cs="Times New Roman"/>
          <w:sz w:val="24"/>
          <w:szCs w:val="24"/>
          <w:lang w:eastAsia="ru-RU"/>
        </w:rPr>
        <w:t>22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июля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 с поступлением 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наблюдающейся на водной поверхности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Нижнесаргинского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водохранилища (река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Серга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бассейн Камы) в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Нижнесаргинском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Свердловской области белёсой пленке, а также о маслянистых сгустках в береговой зоне специалистами ФГБУ «Уральское УГМС» Росгидромета было проведено визуальное обследование местности, а также осуществлен отбор проб воды (для последующего химического анализа) в Нижнесергинском и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Атигском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(река Большой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</w:t>
      </w:r>
      <w:proofErr w:type="spellEnd"/>
      <w:proofErr w:type="gram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приток реки Серги, бассейн Камы) водохранилищах в следующих створах: 1) южная часть Нижнесергинского водохранилища в черте г. Нижние Серги, в районе улицы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Барабанова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2)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приплотинный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участок Нижнесергинского водохранилища в черте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Нижние Серги, в районе улицы Федотова; 3) северная часть Нижнесергинского водохранилища, в черте г. Нижние Серги, в районе улицы Братьев Фроловых;</w:t>
      </w:r>
      <w:proofErr w:type="gram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741289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741289" w:rsidRPr="00CD2AAD" w:rsidRDefault="00741289" w:rsidP="0074128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741289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тинный участок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Атигского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водохранилища в черте поселка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районе улицы К. Маркса. </w:t>
      </w:r>
      <w:proofErr w:type="gram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проведенного визуального обследования было отмечено, что в первых трех створах ближе к берегам вода была мутной, в толще воды и на поверхности наблюдалось белое вещество, нефтяная пленка отсутствовала, мертвая рыба не наблюдалась; в створе на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приплотинном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участке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Атигского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водохранилища вода имела обычный цвет, нефтяная пленка отсутствовала, мертвая рыба не наблюдалась.</w:t>
      </w:r>
      <w:proofErr w:type="gram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 проб воды во всех отобранных пробах были отмечены повышенные значения водородного показателя рН: от рН=9,4 на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приплотинном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участке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Атигского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водохранилища до рН=9,51 (соответствует уровню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высокого загрязнения /ВЗ/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рН=9,73(соответствует уровню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высокого загрязнения /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Нижнесергинском водохранилище. Содержание растворенного в воде кислорода по всем створам было в норме, </w:t>
      </w:r>
      <w:proofErr w:type="spellStart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трудноокисляемых</w:t>
      </w:r>
      <w:proofErr w:type="spellEnd"/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органических веществ по ХПК составляло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696C9F">
        <w:rPr>
          <w:rFonts w:ascii="Times New Roman" w:eastAsia="Times New Roman" w:hAnsi="Times New Roman" w:cs="Times New Roman"/>
          <w:sz w:val="24"/>
          <w:szCs w:val="24"/>
          <w:lang w:eastAsia="ru-RU"/>
        </w:rPr>
        <w:t>2-3 ПДК, остальных определенных загрязняющих веществ – менее ПДК.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 июля в 12 км от села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Верхнетамбовское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Комсомольского района Хабаровского края из нефтепровода «Оха – Комсомольск-на-Амуре», принадлежащег</w:t>
      </w:r>
      <w:proofErr w:type="gram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ООО</w:t>
      </w:r>
      <w:proofErr w:type="gram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«РН-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Сахалинморнефтегаз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произошла утечка нефтепродуктов. По предварительным данным ГУ МЧС по Хабаровскому краю, объем вылившейся на почву нефти составлял 9 т, площадь загрязнения - 400 кв. м. Часть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разлившейся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нефти попала в ручей Голый, впадающий в озеро Голое (бассейн Амура). </w:t>
      </w:r>
      <w:proofErr w:type="gram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контроля за аварийной ситуацией (с учетом предварительного расчета смещения загрязненного очага воды по реке Амур) специалистами ФГБУ «Дальневосточное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организован ежедневный отбор проб воды в реке Амур в районе сел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Нижнетамбовское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Комсомольского района,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Циммермановка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Мариинское,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Богородское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Тахта </w:t>
      </w:r>
      <w:proofErr w:type="spellStart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Ульчского</w:t>
      </w:r>
      <w:proofErr w:type="spell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района, а также г. Николаевск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>-на-Амуре Николаевского района Хабаровского края.</w:t>
      </w:r>
      <w:proofErr w:type="gramEnd"/>
      <w:r w:rsidRPr="00EF1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2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химического анализа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отобранных </w:t>
      </w:r>
      <w:r w:rsidRPr="00F722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 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722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зарегистрированные максимумы по содержанию нефтепродуктов не превышали 1,2-2,4 ПДК. 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информацией в СМИ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разливе дизельного топлива при затоплении</w:t>
      </w:r>
      <w:proofErr w:type="gramEnd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буксира на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еке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(приток Оки, бассейн Волги)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районе г. Красногорск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Московской области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июля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ФГБУ «Центральное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проведено обследование участка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еки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Спасского моста до </w:t>
      </w:r>
      <w:proofErr w:type="spellStart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Бесединского</w:t>
      </w:r>
      <w:proofErr w:type="spellEnd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моста МКАД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5 створах (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0,1 км ниже п. </w:t>
      </w:r>
      <w:proofErr w:type="spellStart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Ильинское</w:t>
      </w:r>
      <w:proofErr w:type="spellEnd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0,01 км выше Спасского моста;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0,01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ниже автодорожного моста по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ул. Нижние Мневники;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0,3 км ниже </w:t>
      </w:r>
      <w:proofErr w:type="spellStart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Бабьегородск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proofErr w:type="spellEnd"/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0,01 км выше шоссейного моста МКАД)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произведен отбор проб воды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последующего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химическ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анализа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проведенного химического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установлено, что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нефтепродуктов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речной воде 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пределах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 1 до 7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B2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концентраци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растворенного в воде кислорода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10,66–7,91 мг/л. В целом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 </w:t>
      </w:r>
      <w:r w:rsidRPr="007965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органических веществ и нефтепродуктов не превышало средних многолетних значений.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1289" w:rsidRPr="00CD2AAD" w:rsidRDefault="00741289" w:rsidP="00741289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741289" w:rsidRPr="00CD2AAD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741289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поступившими 19 июля многочисленными жалобами населения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Канавинского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Нижегородского, Советского и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Приокского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районов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Нижний Новгород на не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свойственный для местности запах в атмосферном воздухе (запах газа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признак ЭВЗ</w:t>
      </w:r>
      <w:r w:rsidRPr="003624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была сформирована комиссия из представителей Управления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Нижегоро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дской области и газовой службы 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выявления источника запаха.</w:t>
      </w:r>
      <w:proofErr w:type="gram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метеонаблюдений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поступления жалоб отмечался ветер северо-западного направления. По информации руководителя Управления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Нижегородской 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одного из жилых районов Нижнего Новгорода были зафиксированы следовые количества обладающих резким характерным запахом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этилмеркаптана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метилмеркаптана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являющихся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одорантами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бытового газа. Сотрудниками газовой службы в ходе проводимых рейдов утечек бытового газа не было выявлено. Аварийных и нештатных ситуаций на предприятиях газовых компаний и Нижегородского водоканала не было зафиксировано. С вечера 19 июля с сохранением в течение суток 20 июля в Нижнем Новгороде и местами в Нижегородской </w:t>
      </w:r>
      <w:r w:rsidRPr="00873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прошли сильные дожди с грозами, препятствовавшие накоплению загрязняющих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1289" w:rsidRDefault="00741289" w:rsidP="0074128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веществ в атмо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сфере, и жалобы населения на не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свойственный для местности запах перестали поступать. ФГБУ «Верхне-Волжское УГМС» Росгидромета по данному факту осуществлялось оперативное взаимодействие с ФКУ «ЦУКС ГУ МЧС по Нижегородской области». Кроме того, представители ФГБУ «Верхне-Волжское УГМС» Росгидромета </w:t>
      </w:r>
      <w:proofErr w:type="gram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приняли участие в проводимых заместителем губернатора Нижегородской области по данному факту заседаниях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Комиссии по чрезвычайным ситуациям в составе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741289" w:rsidRPr="0099404D" w:rsidRDefault="00741289" w:rsidP="007412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741289" w:rsidRDefault="00741289" w:rsidP="0074128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41289" w:rsidRDefault="00741289" w:rsidP="0074128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лей надзорных и контролирующих органов, МЧС России по Нижегородской области с участием представителей </w:t>
      </w:r>
      <w:proofErr w:type="gram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предприятий-возможных</w:t>
      </w:r>
      <w:proofErr w:type="gram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загрязнения. По результатам заседаний был сформирован реестр предприятий, территориально расположенных в зоне образования облака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одоранта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использовать летучие вещества или химические составы, обладающие похожим запахом. По данным СМИ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прокуратура Нижегородской области проводит проверку предполагаемого источника появления запаха </w:t>
      </w:r>
      <w:proofErr w:type="spellStart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одоранта</w:t>
      </w:r>
      <w:proofErr w:type="spellEnd"/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города, по результатам которой будут приняты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прокурорского реагирования.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июле 2019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 ЭВЗ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</w:t>
      </w:r>
      <w:r w:rsidRPr="00104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зарегистрировано).</w:t>
      </w:r>
    </w:p>
    <w:p w:rsidR="00741289" w:rsidRPr="00CD2AAD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12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4 раза на 4 водных объектах</w:t>
      </w:r>
      <w:proofErr w:type="gramEnd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53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82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–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76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1289" w:rsidRPr="00CD2AAD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41289" w:rsidRPr="00CD2AAD" w:rsidRDefault="00741289" w:rsidP="00741289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741289" w:rsidRPr="00CD2AAD" w:rsidRDefault="00741289" w:rsidP="0074128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2A43C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 в: </w:t>
      </w:r>
      <w:proofErr w:type="spellStart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Самара (11 случаев,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27,4 </w:t>
      </w:r>
      <w:proofErr w:type="spellStart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г. Оренбурге (5 случаев, до 19,8 </w:t>
      </w:r>
      <w:proofErr w:type="spellStart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741289" w:rsidRPr="00CD2AAD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741289" w:rsidRPr="00CD2AAD" w:rsidRDefault="00741289" w:rsidP="0074128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741289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 в июле 2020 г. в атмосферном воздухе 2 городов в 16 случаях были зарегистрированы концентрации загрязняющих веществ 10 </w:t>
      </w:r>
      <w:proofErr w:type="spellStart"/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2A43C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2A43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июле 2019 года – не зарегистрировано).</w:t>
      </w:r>
    </w:p>
    <w:p w:rsidR="00741289" w:rsidRPr="00CD2AAD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741289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260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126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119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Перечень случаев высокого загрязнения водных объектов приведен в 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741289" w:rsidRPr="002F2CB0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41289" w:rsidRDefault="00741289" w:rsidP="00741289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741289" w:rsidRDefault="00741289" w:rsidP="00741289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741289" w:rsidRPr="00CD2AAD" w:rsidRDefault="00741289" w:rsidP="00741289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41289" w:rsidRPr="00CD2AAD" w:rsidTr="00DC4E0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41289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17% всех случаев ВЗ.  </w:t>
      </w:r>
    </w:p>
    <w:p w:rsidR="00741289" w:rsidRDefault="00741289" w:rsidP="00741289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CD2AAD" w:rsidRDefault="00741289" w:rsidP="00741289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741289" w:rsidRPr="00265988" w:rsidRDefault="00741289" w:rsidP="007412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41289" w:rsidRPr="00265988" w:rsidRDefault="00741289" w:rsidP="0074128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741289" w:rsidRPr="00265988" w:rsidRDefault="00741289" w:rsidP="0074128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41289" w:rsidRPr="00CD2AAD" w:rsidTr="00DC4E0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126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 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027FD5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027FD5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CD2AAD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41289" w:rsidRPr="00CD2AAD" w:rsidTr="00DC4E0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Default="00741289" w:rsidP="00DC4E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Default="00741289" w:rsidP="00DC4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1289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1289" w:rsidRPr="00CD2AAD" w:rsidRDefault="00741289" w:rsidP="007412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1289" w:rsidRPr="00C26897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июле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который определялся СИ=3 (сероводо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рода) и НП=12% (сероводорода).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сероводорода, формальдегида, аммиака, оксида углерода и диоксида азота.</w:t>
      </w:r>
    </w:p>
    <w:p w:rsidR="00741289" w:rsidRPr="00C26897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показателей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агрязнения атмосферного воздуха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зарегистрированы: </w:t>
      </w:r>
    </w:p>
    <w:p w:rsidR="00741289" w:rsidRPr="00C26897" w:rsidRDefault="00741289" w:rsidP="0074128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(СИ=2-3; НП=9-12%) - в Северо-Западном (район «Южное Тушино») и Южном (район «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741289" w:rsidRPr="00C26897" w:rsidRDefault="00741289" w:rsidP="0074128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 (СИ=1-2, НП=2-10%) – в Южном (район «Нагорный»), Юго-Восточном (район «Рязанс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кий»), Северо-Восточном (район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«Южное Медведково»),  Северо-Западн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 (район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-Мневники»)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Западном (район «Можайский»)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  <w:proofErr w:type="gramEnd"/>
    </w:p>
    <w:p w:rsidR="00741289" w:rsidRPr="00C26897" w:rsidRDefault="00741289" w:rsidP="0074128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аммиаком (СИ=1, НП=2-7%) – в Северо-Западном (район «Южное Тушино») и Южном (район «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741289" w:rsidRPr="00C26897" w:rsidRDefault="00741289" w:rsidP="0074128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оксидом углерода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(СИ=1, НП=2-4%) – в Северо-Восточном (Выставка достижений народного хозяйства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ВДНХ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), Южном (район «Нагорный»), Северо-Западн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 (район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-Мневники»)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Западном (район «Можайский»)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  <w:proofErr w:type="gramEnd"/>
    </w:p>
    <w:p w:rsidR="00741289" w:rsidRPr="00C26897" w:rsidRDefault="00741289" w:rsidP="00741289">
      <w:pPr>
        <w:pStyle w:val="a5"/>
        <w:numPr>
          <w:ilvl w:val="0"/>
          <w:numId w:val="2"/>
        </w:numPr>
        <w:spacing w:line="360" w:lineRule="auto"/>
        <w:ind w:left="0" w:firstLine="35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диоксидом азота (СИ=1, НП=1-3%) -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Южном (район «Нагорный»), Северо-Западном (район «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Хорошево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-Мневники»), Сев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ерном (район «Дмитровский») и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Западном (район «Можайский»)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Москвы.</w:t>
      </w:r>
      <w:proofErr w:type="gramEnd"/>
    </w:p>
    <w:p w:rsidR="00741289" w:rsidRPr="00CD2AAD" w:rsidRDefault="00741289" w:rsidP="007412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741289" w:rsidRPr="00CD2AAD" w:rsidRDefault="00741289" w:rsidP="007412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741289" w:rsidRPr="00CD2AAD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741289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41289" w:rsidRDefault="00741289" w:rsidP="007412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Pr="00C26897" w:rsidRDefault="00741289" w:rsidP="00741289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других определяемых загрязняющих веществ в указанных районах города не превышало установленных гигиенических нормативов.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– 2,0  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1,6 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диоксида азота - 1,4 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Содержание других определяемых загрязняющих веществ  не превышало </w:t>
      </w:r>
      <w:proofErr w:type="spellStart"/>
      <w:r w:rsidRPr="00C2689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C268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741289" w:rsidRPr="00D9178E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741289" w:rsidRPr="004F27EC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территории Российской Федерации в июле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2020 года в целом была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ьных выпадений, а также аварий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Чернобыльской АЭС и ФГУП «ПО «Маяк», и были на 2 - 7 порядков ниже допустимых уровней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4F27EC">
        <w:t xml:space="preserve">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установленных в соответствии с гигиеническими нормативами.</w:t>
      </w:r>
    </w:p>
    <w:p w:rsidR="00741289" w:rsidRPr="004F27EC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Случай регистрации повышенной суммарной плотности радиоактивных выпадений из воздуха, обусловленный естественными процессами, отмечался однократно в c. </w:t>
      </w:r>
      <w:proofErr w:type="spellStart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Байкит</w:t>
      </w:r>
      <w:proofErr w:type="spellEnd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Эвенкийского района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Красноярского края с 4 по 5 июля.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Случай регистрации повышенной суммарной объемной радиоактивности приземного воздуха, обусловленный естественными процессами, также отмечался однократно в г. Волгограде в период с 26 июня по 1 июля.</w:t>
      </w:r>
    </w:p>
    <w:p w:rsidR="00741289" w:rsidRPr="00736A3D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x-none"/>
        </w:rPr>
      </w:pP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 данным ежедневных измерений мощности </w:t>
      </w:r>
      <w:proofErr w:type="spellStart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амбиентного</w:t>
      </w:r>
      <w:proofErr w:type="spellEnd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эквивалента дозы (МАЭД)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100-километровых зонах расположения АЭС и других </w:t>
      </w:r>
      <w:proofErr w:type="spellStart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опасных объектов значения находились в пределах от 0,05 до 0,23 </w:t>
      </w:r>
      <w:proofErr w:type="spellStart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мкЗв</w:t>
      </w:r>
      <w:proofErr w:type="spellEnd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/ч, что соответствует уровням ест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ественного радиационного фона.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Минимальные и максимальные значения МАЭД в 100-км зонах </w:t>
      </w:r>
      <w:proofErr w:type="spellStart"/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4F27EC">
        <w:rPr>
          <w:rFonts w:ascii="Times New Roman" w:eastAsia="Times New Roman" w:hAnsi="Times New Roman" w:cs="Times New Roman"/>
          <w:sz w:val="24"/>
          <w:szCs w:val="20"/>
          <w:lang w:eastAsia="ru-RU"/>
        </w:rPr>
        <w:t>опасных  объектов представлены в приложении 4.</w:t>
      </w:r>
    </w:p>
    <w:p w:rsidR="00741289" w:rsidRPr="00D9178E" w:rsidRDefault="00741289" w:rsidP="007412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41289" w:rsidRPr="00CD2AAD" w:rsidRDefault="00741289" w:rsidP="0074128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741289" w:rsidRPr="00CD2AAD" w:rsidRDefault="00741289" w:rsidP="0074128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CD2AAD" w:rsidRDefault="00741289" w:rsidP="0074128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719C5" w:rsidRDefault="006719C5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741289" w:rsidRDefault="00741289" w:rsidP="00741289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741289" w:rsidRPr="002D6B3C" w:rsidRDefault="00741289" w:rsidP="0074128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0"/>
        <w:gridCol w:w="2003"/>
        <w:gridCol w:w="1928"/>
        <w:gridCol w:w="3300"/>
        <w:gridCol w:w="1708"/>
      </w:tblGrid>
      <w:tr w:rsidR="00741289" w:rsidRPr="00DD7A89" w:rsidTr="00DC4E0E">
        <w:trPr>
          <w:cantSplit/>
          <w:trHeight w:val="28"/>
          <w:tblHeader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03" w:type="dxa"/>
            <w:tcBorders>
              <w:bottom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3300" w:type="dxa"/>
            <w:tcBorders>
              <w:bottom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741289" w:rsidRPr="00DD7A89" w:rsidTr="00DC4E0E">
        <w:trPr>
          <w:cantSplit/>
        </w:trPr>
        <w:tc>
          <w:tcPr>
            <w:tcW w:w="9469" w:type="dxa"/>
            <w:gridSpan w:val="5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Аргунь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Олочи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Дихлордифенилтрихлорметил-метан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</w:t>
            </w: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лакша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50 м выше второго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моста "РУСАЛ Кандалакша"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</w:t>
            </w: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лакша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250 м ниже выпуска №1 "РУСАЛ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Канда-лакша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</w:t>
            </w: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лакша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500 м ниже выпуска №1 "РУСАЛ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Канда-лакша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 w:rsidR="00741289" w:rsidRPr="00DD7A89" w:rsidTr="00DC4E0E">
        <w:trPr>
          <w:cantSplit/>
        </w:trPr>
        <w:tc>
          <w:tcPr>
            <w:tcW w:w="9469" w:type="dxa"/>
            <w:gridSpan w:val="5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Имандра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Апатиты, у о-ва Избяного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371797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3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оз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Комариное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Кировский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район</w:t>
            </w:r>
            <w:proofErr w:type="spellEnd"/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  <w:vMerge w:val="restart"/>
          </w:tcPr>
          <w:p w:rsidR="00741289" w:rsidRPr="0015264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15264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15264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41289" w:rsidRPr="00DD7A89" w:rsidTr="00DC4E0E">
        <w:trPr>
          <w:cantSplit/>
          <w:trHeight w:val="316"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(2 случая)</w:t>
            </w:r>
          </w:p>
        </w:tc>
      </w:tr>
      <w:tr w:rsidR="00741289" w:rsidRPr="00DD7A89" w:rsidTr="00DC4E0E">
        <w:trPr>
          <w:cantSplit/>
          <w:trHeight w:val="592"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оз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Умбозеро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Кировский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район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754626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(2 случая)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Белая</w:t>
            </w:r>
            <w:proofErr w:type="spellEnd"/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Апатиты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754626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F01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F010C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3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Вуоннем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йок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Кировский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район</w:t>
            </w:r>
            <w:proofErr w:type="spellEnd"/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  <w:vMerge w:val="restart"/>
          </w:tcPr>
          <w:p w:rsidR="00741289" w:rsidRPr="00754626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D9271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(2 случая)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9271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(2 случая)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DD7A89" w:rsidTr="00DC4E0E">
        <w:trPr>
          <w:cantSplit/>
          <w:trHeight w:val="214"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  <w:shd w:val="clear" w:color="auto" w:fill="auto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  <w:shd w:val="clear" w:color="auto" w:fill="auto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9271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 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Мышега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Алексин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Формальдегид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Колыма (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вдхр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Колымское</w:t>
            </w:r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Синегорье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DD7A89" w:rsidTr="00DC4E0E">
        <w:trPr>
          <w:cantSplit/>
          <w:trHeight w:val="549"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Тенке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Нелькоба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(2 случая)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Буровой, Кировский район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мол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ибден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173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</w:t>
            </w: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Кировский район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741289" w:rsidRPr="00DD7A89" w:rsidTr="00DC4E0E">
        <w:trPr>
          <w:cantSplit/>
        </w:trPr>
        <w:tc>
          <w:tcPr>
            <w:tcW w:w="9469" w:type="dxa"/>
            <w:gridSpan w:val="5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3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пр. Городецкий Шар,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Нарьян-Мар</w:t>
            </w:r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330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22,9 км выше устья,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166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Амгунь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 </w:t>
            </w:r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</w:t>
            </w:r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3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Блява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Медногорск</w:t>
            </w:r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Йоки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Никель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Нимелен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Тимченко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03" w:type="dxa"/>
            <w:vMerge w:val="restart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Печора,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Нарьян-Мар</w:t>
            </w:r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330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741289" w:rsidRPr="00DD7A89" w:rsidTr="00DC4E0E">
        <w:trPr>
          <w:cantSplit/>
          <w:trHeight w:val="187"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741289" w:rsidRPr="00DD7A89" w:rsidTr="00DC4E0E">
        <w:trPr>
          <w:cantSplit/>
          <w:trHeight w:val="282"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выше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116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Травяная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41289" w:rsidRPr="00DD7A89" w:rsidTr="00DC4E0E">
        <w:trPr>
          <w:cantSplit/>
        </w:trPr>
        <w:tc>
          <w:tcPr>
            <w:tcW w:w="9469" w:type="dxa"/>
            <w:gridSpan w:val="5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вдхр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Чебоксар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г. Нижний Новгород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Вуоннем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йок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Кировский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район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3" w:type="dxa"/>
            <w:vMerge w:val="restart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  <w:trHeight w:val="226"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1,95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03" w:type="dxa"/>
            <w:vMerge w:val="restart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Дубна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Вербилки</w:t>
            </w:r>
            <w:proofErr w:type="spellEnd"/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330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Катайск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Исеть,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Каменск-Уральский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03" w:type="dxa"/>
            <w:vMerge w:val="restart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Шадринск</w:t>
            </w:r>
            <w:proofErr w:type="spellEnd"/>
          </w:p>
        </w:tc>
        <w:tc>
          <w:tcPr>
            <w:tcW w:w="1928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300" w:type="dxa"/>
            <w:vMerge w:val="restart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140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vMerge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03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28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vMerge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Мехонское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Миасс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Каргаполье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Ока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Горбатов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Пышма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Березовский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003" w:type="dxa"/>
          </w:tcPr>
          <w:p w:rsidR="007412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Пышма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Талица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Тагил,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Нижний Тагил</w:t>
            </w:r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003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Белозерское</w:t>
            </w:r>
            <w:proofErr w:type="spellEnd"/>
          </w:p>
        </w:tc>
        <w:tc>
          <w:tcPr>
            <w:tcW w:w="1928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300" w:type="dxa"/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</w:tr>
      <w:tr w:rsidR="00741289" w:rsidRPr="00DD7A89" w:rsidTr="00DC4E0E">
        <w:trPr>
          <w:cantSplit/>
        </w:trPr>
        <w:tc>
          <w:tcPr>
            <w:tcW w:w="9469" w:type="dxa"/>
            <w:gridSpan w:val="5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Органолептические свойства</w:t>
            </w:r>
          </w:p>
        </w:tc>
      </w:tr>
      <w:tr w:rsidR="00741289" w:rsidRPr="00DD7A89" w:rsidTr="00DC4E0E">
        <w:trPr>
          <w:cantSplit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Варничный</w:t>
            </w:r>
            <w:proofErr w:type="spellEnd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89" w:rsidRPr="00DD7A89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Запах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289" w:rsidRPr="00DD7A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DD7A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</w:tbl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95653B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52505B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109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109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2D6B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 о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>рганолептический признак, в баллах</w:t>
      </w:r>
    </w:p>
    <w:p w:rsidR="00741289" w:rsidRDefault="00741289" w:rsidP="007412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Pr="00495EFB" w:rsidRDefault="00741289" w:rsidP="00741289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741289" w:rsidRPr="00495EFB" w:rsidRDefault="00741289" w:rsidP="00741289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95EFB" w:rsidRDefault="00741289" w:rsidP="007412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741289" w:rsidRPr="00AC2778" w:rsidRDefault="00741289" w:rsidP="00741289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68"/>
        <w:gridCol w:w="1980"/>
        <w:gridCol w:w="2100"/>
        <w:gridCol w:w="986"/>
        <w:gridCol w:w="998"/>
        <w:gridCol w:w="952"/>
        <w:gridCol w:w="985"/>
      </w:tblGrid>
      <w:tr w:rsidR="00741289" w:rsidRPr="00C914A0" w:rsidTr="00DC4E0E">
        <w:trPr>
          <w:cantSplit/>
          <w:trHeight w:val="548"/>
          <w:tblHeader/>
        </w:trPr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опасн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741289" w:rsidRPr="00C914A0" w:rsidTr="00DC4E0E">
        <w:trPr>
          <w:cantSplit/>
        </w:trPr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2,24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317162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Владимирская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2,35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33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34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21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893B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93B3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893B3E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2,29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2,42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893B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22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Тверская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2,43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93B3E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837D9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837D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37D9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837D9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3" w:type="dxa"/>
            <w:vAlign w:val="center"/>
          </w:tcPr>
          <w:p w:rsidR="00741289" w:rsidRPr="00837D9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Формальдегид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Удмуртская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Смоленская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4C201D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4C20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C20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4C201D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3" w:type="dxa"/>
            <w:vAlign w:val="center"/>
          </w:tcPr>
          <w:p w:rsidR="00741289" w:rsidRPr="004C201D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2,72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Дон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Белгородская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Ростовская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23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212EFE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Удмуртская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Колыма</w:t>
            </w:r>
            <w:proofErr w:type="spellEnd"/>
          </w:p>
        </w:tc>
      </w:tr>
      <w:tr w:rsidR="00741289" w:rsidRPr="00C914A0" w:rsidTr="00DC4E0E">
        <w:trPr>
          <w:trHeight w:val="538"/>
        </w:trPr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Магаданская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Лена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26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D138F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D138F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Печора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Ненецкий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автономный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22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Северная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Осетия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041" w:type="dxa"/>
          </w:tcPr>
          <w:p w:rsidR="00741289" w:rsidRPr="0075603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756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560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756033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2,53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75603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33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75603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756033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741289" w:rsidRPr="00C914A0" w:rsidTr="00DC4E0E">
        <w:tc>
          <w:tcPr>
            <w:tcW w:w="9469" w:type="dxa"/>
            <w:gridSpan w:val="7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реки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озера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2,33</w:t>
            </w: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Краснодарский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470FDF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470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70FD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470FDF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470FDF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41289" w:rsidRPr="00C914A0" w:rsidTr="00DC4E0E">
        <w:tc>
          <w:tcPr>
            <w:tcW w:w="1498" w:type="dxa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8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Новгородская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041" w:type="dxa"/>
          </w:tcPr>
          <w:p w:rsidR="00741289" w:rsidRPr="00C7471A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41289" w:rsidRPr="00C914A0" w:rsidTr="00DC4E0E">
        <w:tc>
          <w:tcPr>
            <w:tcW w:w="149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988" w:type="dxa"/>
            <w:vMerge w:val="restart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041" w:type="dxa"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Сульфиды</w:t>
            </w:r>
            <w:proofErr w:type="spellEnd"/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741289" w:rsidRPr="00C914A0" w:rsidTr="00DC4E0E">
        <w:tc>
          <w:tcPr>
            <w:tcW w:w="1498" w:type="dxa"/>
            <w:vMerge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741289" w:rsidRPr="00C914A0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1" w:type="dxa"/>
          </w:tcPr>
          <w:p w:rsidR="00741289" w:rsidRPr="00C7471A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1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59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993" w:type="dxa"/>
            <w:vAlign w:val="center"/>
          </w:tcPr>
          <w:p w:rsidR="00741289" w:rsidRPr="00C914A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914A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</w:tbl>
    <w:p w:rsidR="00741289" w:rsidRPr="00C914A0" w:rsidRDefault="00741289" w:rsidP="007412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41289" w:rsidRPr="009F65ED" w:rsidRDefault="00741289" w:rsidP="007412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95EFB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41289" w:rsidRDefault="00741289" w:rsidP="00741289">
      <w:pPr>
        <w:spacing w:after="0" w:line="240" w:lineRule="auto"/>
      </w:pPr>
    </w:p>
    <w:p w:rsidR="00741289" w:rsidRDefault="00741289" w:rsidP="00741289">
      <w:pPr>
        <w:spacing w:after="0" w:line="240" w:lineRule="auto"/>
      </w:pPr>
    </w:p>
    <w:p w:rsidR="00741289" w:rsidRPr="00574D40" w:rsidRDefault="00741289" w:rsidP="00741289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D40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D4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1483C43B" wp14:editId="1E0BD8E9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741289" w:rsidRPr="00574D40" w:rsidRDefault="00741289" w:rsidP="00DC4E0E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741289" w:rsidRPr="00574D40" w:rsidRDefault="00741289" w:rsidP="00DC4E0E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41289" w:rsidRPr="00574D40" w:rsidTr="00DC4E0E">
        <w:tc>
          <w:tcPr>
            <w:tcW w:w="95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41289" w:rsidRPr="00574D40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741289" w:rsidRPr="00574D40" w:rsidRDefault="00741289" w:rsidP="00741289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741289" w:rsidRPr="00574D40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41289" w:rsidRPr="00574D40" w:rsidRDefault="00741289" w:rsidP="00741289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574D40" w:rsidRDefault="00741289" w:rsidP="00741289">
      <w:pPr>
        <w:rPr>
          <w:rFonts w:ascii="Calibri" w:eastAsia="Times New Roman" w:hAnsi="Calibri" w:cs="Times New Roman"/>
          <w:lang w:eastAsia="ru-RU"/>
        </w:rPr>
      </w:pPr>
    </w:p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Pr="00574D40" w:rsidRDefault="00741289" w:rsidP="00741289"/>
    <w:p w:rsidR="00741289" w:rsidRDefault="00741289" w:rsidP="00741289"/>
    <w:p w:rsidR="00741289" w:rsidRPr="004A6E84" w:rsidRDefault="00741289" w:rsidP="00741289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741289" w:rsidRPr="004A6E84" w:rsidRDefault="00741289" w:rsidP="00741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A6E84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741289" w:rsidRPr="004A6E84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741289" w:rsidRPr="004A6E84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741289" w:rsidRPr="004A6E84" w:rsidRDefault="00741289" w:rsidP="00741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41289" w:rsidRPr="004A6E84" w:rsidTr="00DC4E0E">
        <w:trPr>
          <w:cantSplit/>
        </w:trPr>
        <w:tc>
          <w:tcPr>
            <w:tcW w:w="6379" w:type="dxa"/>
            <w:vMerge w:val="restart"/>
            <w:vAlign w:val="center"/>
          </w:tcPr>
          <w:p w:rsidR="00741289" w:rsidRPr="004A6E84" w:rsidRDefault="00741289" w:rsidP="00DC4E0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41289" w:rsidRDefault="00741289" w:rsidP="00DC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741289" w:rsidRPr="004A6E84" w:rsidTr="00DC4E0E">
        <w:trPr>
          <w:cantSplit/>
        </w:trPr>
        <w:tc>
          <w:tcPr>
            <w:tcW w:w="6379" w:type="dxa"/>
            <w:vMerge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552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cantSplit/>
          <w:trHeight w:val="60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41289" w:rsidRPr="004A6E84" w:rsidTr="00DC4E0E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2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741289" w:rsidRPr="004A6E84" w:rsidRDefault="00741289" w:rsidP="00DC4E0E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41289" w:rsidRPr="004A6E84" w:rsidTr="00DC4E0E">
        <w:trPr>
          <w:trHeight w:val="40"/>
        </w:trPr>
        <w:tc>
          <w:tcPr>
            <w:tcW w:w="6379" w:type="dxa"/>
            <w:vAlign w:val="center"/>
          </w:tcPr>
          <w:p w:rsidR="00741289" w:rsidRPr="004A6E84" w:rsidRDefault="00741289" w:rsidP="00DC4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741289" w:rsidRPr="004A6E84" w:rsidRDefault="00741289" w:rsidP="00DC4E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</w:tbl>
    <w:p w:rsidR="00741289" w:rsidRPr="004A6E84" w:rsidRDefault="00741289" w:rsidP="007412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A6E84" w:rsidRDefault="00741289" w:rsidP="00741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A6E84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A6E84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Pr="004A6E84" w:rsidRDefault="00741289" w:rsidP="0074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41289" w:rsidRPr="004A6E84" w:rsidRDefault="00741289" w:rsidP="007412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289" w:rsidRDefault="00741289" w:rsidP="00741289"/>
    <w:p w:rsidR="00741289" w:rsidRDefault="00741289" w:rsidP="00741289"/>
    <w:p w:rsidR="00741289" w:rsidRDefault="00741289" w:rsidP="00741289"/>
    <w:p w:rsidR="00741289" w:rsidRDefault="00741289" w:rsidP="00741289">
      <w:pPr>
        <w:spacing w:after="0" w:line="240" w:lineRule="auto"/>
      </w:pPr>
    </w:p>
    <w:sectPr w:rsidR="00741289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EF" w:rsidRDefault="005A49EF">
      <w:pPr>
        <w:spacing w:after="0" w:line="240" w:lineRule="auto"/>
      </w:pPr>
      <w:r>
        <w:separator/>
      </w:r>
    </w:p>
  </w:endnote>
  <w:endnote w:type="continuationSeparator" w:id="0">
    <w:p w:rsidR="005A49EF" w:rsidRDefault="005A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EF" w:rsidRDefault="005A49EF">
      <w:pPr>
        <w:spacing w:after="0" w:line="240" w:lineRule="auto"/>
      </w:pPr>
      <w:r>
        <w:separator/>
      </w:r>
    </w:p>
  </w:footnote>
  <w:footnote w:type="continuationSeparator" w:id="0">
    <w:p w:rsidR="005A49EF" w:rsidRDefault="005A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DC204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FA7">
          <w:rPr>
            <w:noProof/>
          </w:rPr>
          <w:t>22</w:t>
        </w:r>
        <w:r>
          <w:fldChar w:fldCharType="end"/>
        </w:r>
      </w:p>
    </w:sdtContent>
  </w:sdt>
  <w:p w:rsidR="00D35C3C" w:rsidRDefault="005A49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5A49EF">
    <w:pPr>
      <w:pStyle w:val="a3"/>
      <w:jc w:val="center"/>
    </w:pPr>
  </w:p>
  <w:p w:rsidR="00D35C3C" w:rsidRDefault="005A49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3FDE"/>
    <w:multiLevelType w:val="hybridMultilevel"/>
    <w:tmpl w:val="DA08E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84"/>
    <w:rsid w:val="00026484"/>
    <w:rsid w:val="00131FA7"/>
    <w:rsid w:val="005A49EF"/>
    <w:rsid w:val="006719C5"/>
    <w:rsid w:val="00741289"/>
    <w:rsid w:val="00D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289"/>
  </w:style>
  <w:style w:type="paragraph" w:styleId="a5">
    <w:name w:val="List Paragraph"/>
    <w:basedOn w:val="a"/>
    <w:uiPriority w:val="34"/>
    <w:qFormat/>
    <w:rsid w:val="007412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4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1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289"/>
  </w:style>
  <w:style w:type="paragraph" w:styleId="a5">
    <w:name w:val="List Paragraph"/>
    <w:basedOn w:val="a"/>
    <w:uiPriority w:val="34"/>
    <w:qFormat/>
    <w:rsid w:val="007412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4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1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4803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2020-08-20T11:23:00Z</dcterms:created>
  <dcterms:modified xsi:type="dcterms:W3CDTF">2020-08-20T11:23:00Z</dcterms:modified>
</cp:coreProperties>
</file>