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6D" w:rsidRPr="00CD2AAD" w:rsidRDefault="00191E6D" w:rsidP="00191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91E6D" w:rsidRDefault="00191E6D" w:rsidP="00191E6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91E6D" w:rsidRPr="00CD2AAD" w:rsidRDefault="00191E6D" w:rsidP="00191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191E6D" w:rsidRDefault="001A4E14" w:rsidP="00191E6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140-06785/20и  от 18 сентября 2020 года</w:t>
      </w:r>
      <w:bookmarkStart w:id="0" w:name="_GoBack"/>
      <w:bookmarkEnd w:id="0"/>
    </w:p>
    <w:p w:rsidR="00191E6D" w:rsidRPr="00CD2AAD" w:rsidRDefault="00191E6D" w:rsidP="00191E6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91E6D" w:rsidRPr="00CD2AAD" w:rsidRDefault="00191E6D" w:rsidP="00191E6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91E6D" w:rsidRPr="00CD2AAD" w:rsidRDefault="00191E6D" w:rsidP="00191E6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191E6D" w:rsidRPr="00CD2AA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191E6D" w:rsidRPr="00CD2AA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91E6D" w:rsidRPr="00CD2AA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191E6D" w:rsidRPr="00CD2AAD" w:rsidRDefault="00191E6D" w:rsidP="00191E6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1E6D" w:rsidRDefault="00191E6D" w:rsidP="00191E6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1E6D" w:rsidRPr="00CD2AAD" w:rsidRDefault="00191E6D" w:rsidP="00191E6D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191E6D" w:rsidRPr="00CD2AAD" w:rsidRDefault="00191E6D" w:rsidP="00191E6D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191E6D" w:rsidRPr="00CD2AAD" w:rsidRDefault="00191E6D" w:rsidP="00191E6D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191E6D" w:rsidRDefault="00191E6D" w:rsidP="00191E6D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пожаром,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произошедшим 17 августа на складе лакокрасочной продукции в </w:t>
      </w:r>
      <w:proofErr w:type="spellStart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Канавинском</w:t>
      </w:r>
      <w:proofErr w:type="spellEnd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(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пожара составляла 600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специалистами ФГБУ «Верхне-Волжского УГМС» Росгидромета был организован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атмосферного переноса в сторону нагорной части города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дополнительный отбор проб атмосферного воздуха на стационарных постах государственной наблюдательной сети </w:t>
      </w:r>
      <w:proofErr w:type="gramStart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Советском</w:t>
      </w:r>
      <w:proofErr w:type="gramEnd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Приокском</w:t>
      </w:r>
      <w:proofErr w:type="spellEnd"/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содержания продукта горения – оксида углерода.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проб превышений предельно допустимой концентрации оксида углерода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выявили.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пожара метеорологические условия (ветер северного – северо-западного направления 8 м/с) способствовали рассеиванию продуктов горения.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 населения на несвойственный для местности запах и задымление в атмосферно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C95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воздухе в адрес ФГБУ «Верхне-Волжское УГМС» Росгидромета не поступало.</w:t>
      </w:r>
    </w:p>
    <w:p w:rsidR="00191E6D" w:rsidRPr="00D02BB8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введением 29 августа на территории Первомайско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района Оренбургской области 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режима ЧС муниципального характера, обусловленного природным пожаром, специалистами ФГБУ «Приволжское УГМС» Росгидромета было организовано экспедиционное обследование состояния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пос. Зарево 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>и с. Советское Первомайского района.</w:t>
      </w:r>
      <w:proofErr w:type="gramEnd"/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отбора проб воздуха задымления не наблюдалось, при этом на территории области формировались неблагоприятные для рассеивания загрязняющих веществ метеорологические 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(НМУ)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анализа отобранных проб воздуха превышений предельно допустимых концентраций оксида углерода, взвешенных веществ, сажи, диоксида азота и диоксида серы не выявили. В период с 18</w:t>
      </w:r>
      <w:r w:rsidRPr="00D02B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28 августа до 11</w:t>
      </w:r>
      <w:r w:rsidRPr="00D02B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29 августа и с 18</w:t>
      </w:r>
      <w:r w:rsidRPr="00D02B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29 августа до 11</w:t>
      </w:r>
      <w:r w:rsidRPr="00D02B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августа были объявлены НМУ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-ой</w:t>
      </w:r>
      <w:r w:rsidRPr="00D02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степени опасности.</w:t>
      </w:r>
    </w:p>
    <w:p w:rsidR="00191E6D" w:rsidRDefault="00191E6D" w:rsidP="00191E6D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3 августа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информацией о разливе нефтепродуктов на р.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Селемдж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Зеи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бассейн Амура)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районе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населенного пункта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Экимчан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Селемджинского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Амурской области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специалистами Амурского ЦГМС - филиала ФГБУ «Дальневосточно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отбор проб воды в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еках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Селемдж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черте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ела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Усть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-Ульма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Мазановского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Амурской области) и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Зе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в 1 км выше г. Свободн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Амурской области, 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в 1 км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и в черте г. Благовещенск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Амурской области) </w:t>
      </w:r>
      <w:r w:rsidRPr="00FF32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последующего определения содержания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FF3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нефтепродуктов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содержание нефтепродуктов в отобранных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варьировало в пределах 1,1 – 3,6 ПДК</w:t>
      </w:r>
      <w:r w:rsidRPr="00D7060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proofErr w:type="gramStart"/>
      <w:r w:rsidRPr="00D706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за</w:t>
      </w:r>
      <w:proofErr w:type="gramEnd"/>
      <w:r w:rsidRPr="00D7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аварийной ситуацией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5-9 августа </w:t>
      </w:r>
      <w:r w:rsidRPr="00D7060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Амурского ЦГМС - филиала ФГБУ «Дальневосточного УГМС» Росгидромета был организован отбор проб воды в реке Амур (с учетом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добегания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районе следующих сел Еврейской автономной области: Пашково,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Екатерино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-Никольское,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Нагибово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Ленинское. По результатам химического анализа проб речной воды, отобранных в районе указанных населенных пунктов, превышений норматива ПДК по нефтепродуктам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19 августа в ФГБУ «</w:t>
      </w: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Дальневосточное</w:t>
      </w:r>
      <w:proofErr w:type="gram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поступила информация из Единой дежурно-диспетчерской службы (ЕДДС) Хабаровского края об обнаружении нефтяного пятна на водной поверхности реки </w:t>
      </w:r>
      <w:proofErr w:type="spell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Бочин</w:t>
      </w:r>
      <w:proofErr w:type="spell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Амура) в Комсомольском районе Хабаровского края. По данным Главного управления МЧС России по Хабаровскому краю, площадь нефтяного пятна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 м</w:t>
      </w: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рамках контроля за аварийной ситуацией специалистами ФГБУ «</w:t>
      </w: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Дальневосточное</w:t>
      </w:r>
      <w:proofErr w:type="gram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с    20 августа в реке Амур в районе г. Комсомольска-на-Амуре Хабаровского края (с учетом смещения нефтяного пятна)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организован дополнительный отбор проб воды для последующего определения содержания в ней нефтепродуктов.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химичес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191E6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191E6D" w:rsidRPr="00CD2AAD" w:rsidRDefault="00191E6D" w:rsidP="00191E6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191E6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кого анализа проб воды, отобранных специалистами ФГБУ «Дальневосточное УГМС» Росгидромета 20-2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августа в реке Амур в районе г. Комсомольска-на-Амуре Хабаровского края (контрольные створы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расположены: 1) в 6 км выше города,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622 км от устья, на середине реки; 2) в черте города, в 614 км от устья, в трех точках по ширине реки;</w:t>
      </w:r>
      <w:proofErr w:type="gram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в 5 км ниже города, в 594 км от устья, на середине реки),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одержание нефтепродуктов в отобранных пробах воды варьировало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пределах </w:t>
      </w:r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1,2 до 4,2 ПДК.</w:t>
      </w:r>
      <w:proofErr w:type="gramEnd"/>
      <w:r w:rsidRPr="00A03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кислорода и значения водородного показателя рН были в пределах нормы.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5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визуального обследования, проведенного 28 августа, признаков загрязнения водной поверхности нефтепродуктами в районе г. Комсомольска-на-Амуре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Pr="003C50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обнаружено.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613D">
        <w:rPr>
          <w:rFonts w:ascii="Times New Roman" w:hAnsi="Times New Roman" w:cs="Times New Roman"/>
          <w:sz w:val="24"/>
          <w:szCs w:val="24"/>
        </w:rPr>
        <w:t xml:space="preserve">30 августа на реке Амур в черте г. Хабаровска перевернулось заброшенное судно, вследствие чего на водной поверхности реки (вдоль берега) </w:t>
      </w:r>
      <w:r>
        <w:rPr>
          <w:rFonts w:ascii="Times New Roman" w:hAnsi="Times New Roman" w:cs="Times New Roman"/>
          <w:sz w:val="24"/>
          <w:szCs w:val="24"/>
        </w:rPr>
        <w:t>образов</w:t>
      </w:r>
      <w:r w:rsidRPr="0021613D">
        <w:rPr>
          <w:rFonts w:ascii="Times New Roman" w:hAnsi="Times New Roman" w:cs="Times New Roman"/>
          <w:sz w:val="24"/>
          <w:szCs w:val="24"/>
        </w:rPr>
        <w:t>алась нефтяная пленка. 31 августа в рамках контроля за аварийной ситуацией специалистами ФГБУ «Дальневосточное УГМС» Росгидромета был произведен отбор проб речной воды на участке, расположенном в 800 м ниже железнодорожного моста, в 300 м от правого берега.</w:t>
      </w:r>
      <w:proofErr w:type="gramEnd"/>
      <w:r w:rsidRPr="0021613D">
        <w:rPr>
          <w:rFonts w:ascii="Times New Roman" w:hAnsi="Times New Roman" w:cs="Times New Roman"/>
          <w:sz w:val="24"/>
          <w:szCs w:val="24"/>
        </w:rPr>
        <w:t xml:space="preserve"> Как показали результаты химического анализа отобранных проб воды, содержание нефтепродуктов в них не превышало норматива ПДК.</w:t>
      </w:r>
      <w:r>
        <w:rPr>
          <w:rFonts w:ascii="Times New Roman" w:hAnsi="Times New Roman" w:cs="Times New Roman"/>
          <w:sz w:val="24"/>
          <w:szCs w:val="24"/>
        </w:rPr>
        <w:t xml:space="preserve"> Дальневосточной транспортной прокуратурой решается вопрос с собственником о</w:t>
      </w:r>
      <w:r w:rsidRPr="00CD1D2A">
        <w:rPr>
          <w:rFonts w:ascii="Times New Roman" w:hAnsi="Times New Roman" w:cs="Times New Roman"/>
          <w:sz w:val="24"/>
          <w:szCs w:val="24"/>
        </w:rPr>
        <w:t xml:space="preserve"> транспортировк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D1D2A">
        <w:rPr>
          <w:rFonts w:ascii="Times New Roman" w:hAnsi="Times New Roman" w:cs="Times New Roman"/>
          <w:sz w:val="24"/>
          <w:szCs w:val="24"/>
        </w:rPr>
        <w:t xml:space="preserve"> судна на утилизацию.</w:t>
      </w:r>
    </w:p>
    <w:p w:rsidR="00191E6D" w:rsidRPr="00CD2AAD" w:rsidRDefault="00191E6D" w:rsidP="00191E6D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191E6D" w:rsidRPr="00CD2AA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191E6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автоматического стационарного пункта территориальной системы наблюдений за загрязнением атмосферного воздуха Правительства Самарской области, расположенного в жилом районе «Волгарь» </w:t>
      </w:r>
      <w:proofErr w:type="spellStart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Самары, при неблагоприятных для рассеивания загрязняющих веществ метеорологических условиях концентрации сероводорода достигали: 27 августа в 00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мин.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- 55,4 </w:t>
      </w:r>
      <w:proofErr w:type="spellStart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65FD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31 августа 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21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 мин.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50,4 </w:t>
      </w:r>
      <w:proofErr w:type="spellStart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65FD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(концентрации соответствуют уровню ЭВЗ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предприятия </w:t>
      </w:r>
      <w:proofErr w:type="spellStart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Самара с  21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 августа до 10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августа и с 20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 августа до 10</w:t>
      </w:r>
      <w:r w:rsidRPr="00F65F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сентября были переданы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предупреждения о формировании 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>НМУ 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-ой</w:t>
      </w: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степени опасности </w:t>
      </w:r>
    </w:p>
    <w:p w:rsidR="00191E6D" w:rsidRPr="0099404D" w:rsidRDefault="00191E6D" w:rsidP="00191E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191E6D" w:rsidRDefault="00191E6D" w:rsidP="00191E6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91E6D" w:rsidRDefault="00191E6D" w:rsidP="00191E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F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(для сравнения: в августе 2019 г. был зарегистрирован 1 случай ЭВЗ по органолептическим признакам).  </w:t>
      </w:r>
    </w:p>
    <w:p w:rsidR="00191E6D" w:rsidRPr="00CD2AA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6 раз на 3 водных объектах</w:t>
      </w:r>
      <w:proofErr w:type="gramEnd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75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Также был зарегистрирован 1 случай ЭВЗ по органолептическому признаку (для сравнения: в августе 2019 года был также зарегистрирован 1 случай ЭВЗ по органолептическому признаку).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83 р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Pr="00CD2AA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191E6D" w:rsidRPr="00CD2AAD" w:rsidRDefault="00191E6D" w:rsidP="00191E6D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191E6D" w:rsidRPr="00CD2AAD" w:rsidRDefault="00191E6D" w:rsidP="00191E6D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191E6D" w:rsidRPr="00FF1F0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веществами 2 класса опасности были зар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егистрированы: сероводородом -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Самара (34 случая,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48,0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пос.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Селенгинск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Кабанско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(1 случай,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г. Оренбурге (4 случая, до 12,7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формальдегидом –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случай, 11,1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 ВЗ атмосферного воздуха веществом 3 класса опасности - этилбензолом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зарегистрирован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Омске (1 случай, 10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Pr="00CD2AA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191E6D" w:rsidRPr="00CD2AAD" w:rsidRDefault="00191E6D" w:rsidP="00191E6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191E6D" w:rsidRDefault="00191E6D" w:rsidP="00191E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 в августе 2020 г. в атмосферном воздухе 4 городов в 40 случаях были зарегистрированы концентрации загрязняющих веществ 10 </w:t>
      </w:r>
      <w:proofErr w:type="spellStart"/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F1F0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1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 (для сравнения: в августе 2019 года – не зарегистрировано).</w:t>
      </w:r>
    </w:p>
    <w:p w:rsidR="00191E6D" w:rsidRPr="00CD2AAD" w:rsidRDefault="00191E6D" w:rsidP="00191E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217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101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184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82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191E6D" w:rsidRPr="002F2CB0" w:rsidRDefault="00191E6D" w:rsidP="00191E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91E6D" w:rsidRDefault="00191E6D" w:rsidP="00191E6D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191E6D" w:rsidRDefault="00191E6D" w:rsidP="00191E6D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191E6D" w:rsidRPr="00CD2AAD" w:rsidRDefault="00191E6D" w:rsidP="00191E6D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91E6D" w:rsidRPr="00CD2AAD" w:rsidTr="005C286F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27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26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91E6D" w:rsidRPr="00CD2AAD" w:rsidTr="005C28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191E6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191E6D" w:rsidRPr="006D05FA" w:rsidRDefault="00191E6D" w:rsidP="00191E6D">
      <w:pPr>
        <w:spacing w:line="36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91E6D" w:rsidRPr="00CD2AAD" w:rsidRDefault="00191E6D" w:rsidP="00191E6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191E6D" w:rsidRPr="00311D42" w:rsidRDefault="00191E6D" w:rsidP="00191E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91E6D" w:rsidRPr="00265988" w:rsidRDefault="00191E6D" w:rsidP="00191E6D">
      <w:pPr>
        <w:spacing w:after="24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</w:t>
      </w:r>
    </w:p>
    <w:p w:rsidR="00191E6D" w:rsidRPr="00265988" w:rsidRDefault="00191E6D" w:rsidP="00191E6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91E6D" w:rsidRPr="00CD2AAD" w:rsidTr="005C286F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122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26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027FD5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91E6D" w:rsidRPr="00CD2AAD" w:rsidTr="005C286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6D" w:rsidRPr="00CD2AAD" w:rsidRDefault="00191E6D" w:rsidP="005C28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1E6D" w:rsidRPr="00CD2AA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1E6D" w:rsidRPr="00014728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августе,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повышенный уровень загрязнения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атмосферного воздуха, который определялся СИ=3 (сероводорода) и НП=12% (формальдегида).  </w:t>
      </w:r>
    </w:p>
    <w:p w:rsidR="00191E6D" w:rsidRPr="00014728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сероводорода, формальдегида и диоксида азота.</w:t>
      </w:r>
    </w:p>
    <w:p w:rsidR="00191E6D" w:rsidRPr="00014728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показателей загрязнения атмосферного воздуха  были зарегистрированы: </w:t>
      </w:r>
    </w:p>
    <w:p w:rsidR="00191E6D" w:rsidRPr="00014728" w:rsidRDefault="00191E6D" w:rsidP="00191E6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(СИ=2-3; НП=4-7%) - в Юго-Восточном (район «Рязанский»), Северо-Западном (район «Южное Тушино») и Южном (район «</w:t>
      </w:r>
      <w:proofErr w:type="spell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191E6D" w:rsidRPr="00014728" w:rsidRDefault="00191E6D" w:rsidP="00191E6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 (СИ=1-2, НП=1-12%) – в Южном (район «Нагорный»), Центральном (район «Мещанск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ий») и Северо-Восточном (район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«Южное Медведково»)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  <w:proofErr w:type="gramEnd"/>
    </w:p>
    <w:p w:rsidR="00191E6D" w:rsidRPr="00014728" w:rsidRDefault="00191E6D" w:rsidP="00191E6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 азота (СИ=1-2, НП=2-4%) -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в Южном (район «Нагорный»), 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нтральном (район «Мещанский»),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ерном (район «Дмитровский») и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Восточном (район «Богородский»)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Москвы.</w:t>
      </w:r>
      <w:proofErr w:type="gramEnd"/>
    </w:p>
    <w:p w:rsidR="00191E6D" w:rsidRPr="00014728" w:rsidRDefault="00191E6D" w:rsidP="00191E6D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определяемых загрязняющих веществ в указанных районах города не превышало установленных гигиенических нормативов.</w:t>
      </w:r>
    </w:p>
    <w:p w:rsidR="00191E6D" w:rsidRPr="00014728" w:rsidRDefault="00191E6D" w:rsidP="00191E6D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диоксида азота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1,5 </w:t>
      </w:r>
      <w:proofErr w:type="spell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.,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формальдегида – 1,1 </w:t>
      </w:r>
      <w:proofErr w:type="spell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.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ределяемых загрязняющих веществ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превышало </w:t>
      </w:r>
      <w:proofErr w:type="spellStart"/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01472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в атмосферном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воздухе города взвешенных веществ, оксида азота,  окс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ида углерода, аммиака, фенола,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хлорида водорода, ацетона, этилбензола, бензола, толуола и ксилола не превышало установленных гигиенических нормативов,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диоксида серы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01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предела обнаружения.</w:t>
      </w:r>
      <w:proofErr w:type="gramEnd"/>
    </w:p>
    <w:p w:rsidR="00191E6D" w:rsidRPr="00CD2AAD" w:rsidRDefault="00191E6D" w:rsidP="00191E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191E6D" w:rsidRPr="00CD2AAD" w:rsidRDefault="00191E6D" w:rsidP="00191E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191E6D" w:rsidRPr="00CD2AA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191E6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91E6D" w:rsidRDefault="00191E6D" w:rsidP="00191E6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5. Радиационная обстановка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августе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2020 года в целом была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Чернобыльской АЭС и ФГУП «ПО «Маяк», и были на 2 - 7 порядков ниже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допустимых уровней,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установленных в соответствии с гигиеническими нормативами.</w:t>
      </w:r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отмечал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ись однократно в с. Туруханске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Красноярского края с 11 по 12 августа.</w:t>
      </w:r>
      <w:proofErr w:type="gramEnd"/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в прошедшем месяце не отмечались.</w:t>
      </w:r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 загрязнения местности  цезием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-137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1 - 5 Кюри/км</w:t>
      </w:r>
      <w:proofErr w:type="gramStart"/>
      <w:r w:rsidRPr="008F48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значения мощности </w:t>
      </w:r>
      <w:proofErr w:type="spell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находились в пределах от 0,12 до 0,13 </w:t>
      </w:r>
      <w:proofErr w:type="spell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/час, с плотностью загрязнения 5 - 15 Кюри/км</w:t>
      </w:r>
      <w:r w:rsidRPr="008F48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 пределах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0,13 до 0,29 </w:t>
      </w:r>
      <w:proofErr w:type="spell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/час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плотностью загрязнения 15 - 40 Кюри/км</w:t>
      </w:r>
      <w:r w:rsidRPr="008F48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 пределах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0,26 до 0,33 </w:t>
      </w:r>
      <w:proofErr w:type="spell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/час, что соответствует значениям, полученным в ходе многолетних наблюдений.</w:t>
      </w:r>
    </w:p>
    <w:p w:rsidR="00191E6D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0,05 до 0,27 </w:t>
      </w:r>
      <w:proofErr w:type="spellStart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8F4880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что соответствует уровням 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ественного радиационного фона. </w:t>
      </w:r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196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МАЭД </w:t>
      </w:r>
      <w:r w:rsidRPr="00196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1967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196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488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представлены</w:t>
      </w:r>
      <w:r w:rsidRPr="008F488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8F488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 приложении 4.</w:t>
      </w:r>
    </w:p>
    <w:p w:rsidR="00191E6D" w:rsidRPr="008F4880" w:rsidRDefault="00191E6D" w:rsidP="00191E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x-none"/>
        </w:rPr>
      </w:pPr>
    </w:p>
    <w:p w:rsidR="00191E6D" w:rsidRPr="00CD2AAD" w:rsidRDefault="00191E6D" w:rsidP="00191E6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191E6D" w:rsidRPr="00CD2AAD" w:rsidRDefault="00191E6D" w:rsidP="00191E6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CD2AAD" w:rsidRDefault="00191E6D" w:rsidP="00191E6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0EAC" w:rsidRDefault="00810EA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1E6D" w:rsidRDefault="00191E6D" w:rsidP="00191E6D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191E6D" w:rsidRDefault="00191E6D" w:rsidP="00191E6D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191E6D" w:rsidRPr="002D6B3C" w:rsidRDefault="00191E6D" w:rsidP="00191E6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8"/>
        <w:gridCol w:w="2427"/>
        <w:gridCol w:w="2211"/>
        <w:gridCol w:w="2505"/>
        <w:gridCol w:w="1708"/>
      </w:tblGrid>
      <w:tr w:rsidR="00191E6D" w:rsidRPr="009D0FA5" w:rsidTr="005C286F">
        <w:trPr>
          <w:cantSplit/>
          <w:trHeight w:val="28"/>
          <w:tblHeader/>
        </w:trPr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427" w:type="dxa"/>
            <w:tcBorders>
              <w:bottom w:val="single" w:sz="4" w:space="0" w:color="auto"/>
            </w:tcBorders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191E6D" w:rsidRPr="009D0FA5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191E6D" w:rsidRPr="009D0FA5" w:rsidTr="005C286F">
        <w:trPr>
          <w:cantSplit/>
        </w:trPr>
        <w:tc>
          <w:tcPr>
            <w:tcW w:w="9469" w:type="dxa"/>
            <w:gridSpan w:val="5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Йоки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Никель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250 м ниже выпуска №1 "РУСАЛ </w:t>
            </w: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Кандалак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</w:t>
            </w:r>
            <w:proofErr w:type="spellEnd"/>
            <w:proofErr w:type="gram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50 м выше второго </w:t>
            </w:r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моста</w:t>
            </w:r>
            <w:proofErr w:type="gram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"РУСАЛ 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далакша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91E6D" w:rsidRPr="009D0FA5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500 м ниже выпуска №1 "РУСАЛ </w:t>
            </w: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Кандалак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</w:t>
            </w:r>
            <w:proofErr w:type="spellEnd"/>
            <w:proofErr w:type="gram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191E6D" w:rsidRPr="009D0FA5" w:rsidTr="005C286F">
        <w:trPr>
          <w:cantSplit/>
        </w:trPr>
        <w:tc>
          <w:tcPr>
            <w:tcW w:w="9469" w:type="dxa"/>
            <w:gridSpan w:val="5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114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7" w:type="dxa"/>
            <w:vMerge w:val="restart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129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Валава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Лысково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27" w:type="dxa"/>
            <w:vMerge w:val="restart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Кумужья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1E6D" w:rsidRPr="009D0FA5" w:rsidTr="005C286F">
        <w:trPr>
          <w:cantSplit/>
          <w:trHeight w:val="140"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Рязанка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427" w:type="dxa"/>
            <w:vMerge w:val="restart"/>
          </w:tcPr>
          <w:p w:rsidR="00191E6D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Салда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Усть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-Салда</w:t>
            </w:r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94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выше </w:t>
            </w:r>
          </w:p>
          <w:p w:rsidR="00191E6D" w:rsidRPr="009D0FA5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427" w:type="dxa"/>
            <w:vMerge w:val="restart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Прокопьевская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Салда</w:t>
            </w:r>
          </w:p>
        </w:tc>
        <w:tc>
          <w:tcPr>
            <w:tcW w:w="2211" w:type="dxa"/>
            <w:vMerge w:val="restart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</w:tr>
      <w:tr w:rsidR="00191E6D" w:rsidRPr="009D0FA5" w:rsidTr="005C286F">
        <w:trPr>
          <w:cantSplit/>
        </w:trPr>
        <w:tc>
          <w:tcPr>
            <w:tcW w:w="9469" w:type="dxa"/>
            <w:gridSpan w:val="5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Валава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Лысково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7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0,45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  <w:trHeight w:val="513"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Дачная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Арсеньев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F756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Исеть, 522,3 км выше устья,  п. </w:t>
            </w: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реченск</w:t>
            </w:r>
            <w:proofErr w:type="spellEnd"/>
            <w:proofErr w:type="gram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Исеть, 523.8 км выше устья, п. </w:t>
            </w: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реченск</w:t>
            </w:r>
            <w:proofErr w:type="spellEnd"/>
            <w:proofErr w:type="gram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427" w:type="dxa"/>
            <w:vMerge w:val="restart"/>
            <w:vAlign w:val="center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Екатеринбург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427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Исеть,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</w:t>
            </w:r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аменск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ский</w:t>
            </w:r>
            <w:proofErr w:type="spellEnd"/>
            <w:proofErr w:type="gram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427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Шадринск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Каргат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Здвинск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Ока, г. Нижний Новгород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Патрушиха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Екатеринбург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Пышма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Березовский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427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Пышма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Талица</w:t>
            </w:r>
            <w:proofErr w:type="spellEnd"/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Роста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FC696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427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Рязанка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211" w:type="dxa"/>
            <w:vMerge w:val="restart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  <w:vMerge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7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1" w:type="dxa"/>
            <w:vMerge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27" w:type="dxa"/>
          </w:tcPr>
          <w:p w:rsidR="00191E6D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Усть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-Салда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Прокопьевская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Салда</w:t>
            </w:r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Тура, г. Тур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427" w:type="dxa"/>
          </w:tcPr>
          <w:p w:rsidR="00191E6D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Черная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Сергеевка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Чусовая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Староуткинск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Шилка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Сретенск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91E6D" w:rsidRPr="009D0FA5" w:rsidTr="005C286F">
        <w:trPr>
          <w:cantSplit/>
          <w:trHeight w:val="676"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427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Варничный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91E6D" w:rsidRPr="009D0FA5" w:rsidTr="005C286F">
        <w:trPr>
          <w:cantSplit/>
        </w:trPr>
        <w:tc>
          <w:tcPr>
            <w:tcW w:w="9469" w:type="dxa"/>
            <w:gridSpan w:val="5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Органолептические свойства</w:t>
            </w:r>
          </w:p>
        </w:tc>
      </w:tr>
      <w:tr w:rsidR="00191E6D" w:rsidRPr="009D0FA5" w:rsidTr="005C286F">
        <w:trPr>
          <w:cantSplit/>
        </w:trPr>
        <w:tc>
          <w:tcPr>
            <w:tcW w:w="618" w:type="dxa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27" w:type="dxa"/>
          </w:tcPr>
          <w:p w:rsidR="00191E6D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Варничный</w:t>
            </w:r>
            <w:proofErr w:type="spellEnd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2211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5" w:type="dxa"/>
          </w:tcPr>
          <w:p w:rsidR="00191E6D" w:rsidRPr="009D0FA5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Запах</w:t>
            </w:r>
            <w:proofErr w:type="spellEnd"/>
          </w:p>
        </w:tc>
        <w:tc>
          <w:tcPr>
            <w:tcW w:w="1708" w:type="dxa"/>
            <w:vAlign w:val="center"/>
          </w:tcPr>
          <w:p w:rsidR="00191E6D" w:rsidRPr="009D0FA5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</w:tbl>
    <w:p w:rsidR="00191E6D" w:rsidRPr="009D0FA5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1E6D" w:rsidRPr="0095653B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52505B" w:rsidRDefault="00191E6D" w:rsidP="00191E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109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109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2D6B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 о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>рганолептический признак, в баллах</w:t>
      </w:r>
    </w:p>
    <w:p w:rsidR="00191E6D" w:rsidRDefault="00191E6D" w:rsidP="00191E6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91E6D" w:rsidRDefault="00191E6D" w:rsidP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Pr="00495EFB" w:rsidRDefault="00191E6D" w:rsidP="00191E6D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191E6D" w:rsidRPr="00495EFB" w:rsidRDefault="00191E6D" w:rsidP="00191E6D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95EFB" w:rsidRDefault="00191E6D" w:rsidP="00191E6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191E6D" w:rsidRPr="00AC2778" w:rsidRDefault="00191E6D" w:rsidP="00191E6D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191E6D" w:rsidRPr="00193AB3" w:rsidTr="005C286F">
        <w:trPr>
          <w:cantSplit/>
          <w:trHeight w:val="889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опасн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191E6D" w:rsidRPr="00193AB3" w:rsidTr="005C286F">
        <w:trPr>
          <w:cantSplit/>
        </w:trPr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Забайкальский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116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2,47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Лигнин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Владимирская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6D5F51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2D4FA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6D5F51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ве-щества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ве-щества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710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ве-щества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ве-щества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9D62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Калужская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ве-щества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B3667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Дон</w:t>
            </w:r>
            <w:proofErr w:type="spellEnd"/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Белгородская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Иртыш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FC1C22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FC1C22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Архангельская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атри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Хлоpиды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Вологодская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Северная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Осетия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288" w:type="dxa"/>
          </w:tcPr>
          <w:p w:rsidR="00191E6D" w:rsidRPr="00D95C99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D95C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D95C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D95C99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21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D95C99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28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Оренбургская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6E12DD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191E6D" w:rsidRPr="00193AB3" w:rsidTr="005C286F">
        <w:tc>
          <w:tcPr>
            <w:tcW w:w="9469" w:type="dxa"/>
            <w:gridSpan w:val="7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реки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озера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Санкт-Петербург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Краснодарский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91E6D" w:rsidRPr="00193AB3" w:rsidTr="005C286F">
        <w:tc>
          <w:tcPr>
            <w:tcW w:w="458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24" w:type="dxa"/>
            <w:vMerge w:val="restart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2,17</w:t>
            </w: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2B072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71" w:type="dxa"/>
            <w:vAlign w:val="center"/>
          </w:tcPr>
          <w:p w:rsidR="00191E6D" w:rsidRPr="002B0724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71" w:type="dxa"/>
            <w:vAlign w:val="center"/>
          </w:tcPr>
          <w:p w:rsidR="00191E6D" w:rsidRPr="002B0724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1E6D" w:rsidRPr="00193AB3" w:rsidTr="005C286F">
        <w:tc>
          <w:tcPr>
            <w:tcW w:w="458" w:type="dxa"/>
            <w:vMerge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91E6D" w:rsidRPr="00193AB3" w:rsidTr="005C286F">
        <w:tc>
          <w:tcPr>
            <w:tcW w:w="458" w:type="dxa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24" w:type="dxa"/>
          </w:tcPr>
          <w:p w:rsidR="00191E6D" w:rsidRPr="00193AB3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191E6D" w:rsidRPr="002B072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191E6D" w:rsidRPr="00193AB3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193AB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191E6D" w:rsidRPr="00193AB3" w:rsidRDefault="00191E6D" w:rsidP="00191E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1E6D" w:rsidRPr="009F65ED" w:rsidRDefault="00191E6D" w:rsidP="00191E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95EFB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91E6D" w:rsidRDefault="00191E6D" w:rsidP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Default="00191E6D"/>
    <w:p w:rsidR="00191E6D" w:rsidRPr="0037027E" w:rsidRDefault="00191E6D" w:rsidP="00191E6D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2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7027E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37027E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7027E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55E84C6B" wp14:editId="4BC88E98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191E6D" w:rsidRPr="0037027E" w:rsidRDefault="00191E6D" w:rsidP="005C286F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191E6D" w:rsidRPr="0037027E" w:rsidRDefault="00191E6D" w:rsidP="005C286F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191E6D" w:rsidRPr="0037027E" w:rsidTr="005C286F">
        <w:tc>
          <w:tcPr>
            <w:tcW w:w="95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191E6D" w:rsidRPr="0037027E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37027E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191E6D" w:rsidRPr="0037027E" w:rsidRDefault="00191E6D" w:rsidP="00191E6D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191E6D" w:rsidRPr="0037027E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191E6D" w:rsidRPr="0037027E" w:rsidRDefault="00191E6D" w:rsidP="00191E6D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37027E" w:rsidRDefault="00191E6D" w:rsidP="00191E6D">
      <w:pPr>
        <w:rPr>
          <w:rFonts w:ascii="Calibri" w:eastAsia="Times New Roman" w:hAnsi="Calibri" w:cs="Times New Roman"/>
          <w:lang w:eastAsia="ru-RU"/>
        </w:rPr>
      </w:pPr>
    </w:p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37027E" w:rsidRDefault="00191E6D" w:rsidP="00191E6D"/>
    <w:p w:rsidR="00191E6D" w:rsidRPr="004A6E84" w:rsidRDefault="00191E6D" w:rsidP="00191E6D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191E6D" w:rsidRPr="004A6E84" w:rsidRDefault="00191E6D" w:rsidP="00191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A6E84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191E6D" w:rsidRPr="004A6E84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191E6D" w:rsidRPr="004A6E84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191E6D" w:rsidRPr="004A6E84" w:rsidRDefault="00191E6D" w:rsidP="0019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191E6D" w:rsidRPr="004A6E84" w:rsidTr="005C286F">
        <w:trPr>
          <w:cantSplit/>
        </w:trPr>
        <w:tc>
          <w:tcPr>
            <w:tcW w:w="6379" w:type="dxa"/>
            <w:vMerge w:val="restart"/>
            <w:vAlign w:val="center"/>
          </w:tcPr>
          <w:p w:rsidR="00191E6D" w:rsidRPr="004A6E84" w:rsidRDefault="00191E6D" w:rsidP="005C286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191E6D" w:rsidRDefault="00191E6D" w:rsidP="005C2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191E6D" w:rsidRPr="004A6E84" w:rsidTr="005C286F">
        <w:trPr>
          <w:cantSplit/>
        </w:trPr>
        <w:tc>
          <w:tcPr>
            <w:tcW w:w="6379" w:type="dxa"/>
            <w:vMerge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552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cantSplit/>
          <w:trHeight w:val="60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191E6D" w:rsidRPr="004A6E84" w:rsidTr="005C286F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19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0,27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191E6D" w:rsidRPr="004A6E84" w:rsidRDefault="00191E6D" w:rsidP="005C286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191E6D" w:rsidRPr="004A6E84" w:rsidTr="005C286F">
        <w:trPr>
          <w:trHeight w:val="40"/>
        </w:trPr>
        <w:tc>
          <w:tcPr>
            <w:tcW w:w="6379" w:type="dxa"/>
            <w:vAlign w:val="center"/>
          </w:tcPr>
          <w:p w:rsidR="00191E6D" w:rsidRPr="004A6E84" w:rsidRDefault="00191E6D" w:rsidP="005C2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91E6D" w:rsidRPr="004A6E84" w:rsidRDefault="00191E6D" w:rsidP="005C2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 </w:t>
            </w:r>
          </w:p>
        </w:tc>
      </w:tr>
    </w:tbl>
    <w:p w:rsidR="00191E6D" w:rsidRPr="004A6E84" w:rsidRDefault="00191E6D" w:rsidP="00191E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A6E84" w:rsidRDefault="00191E6D" w:rsidP="00191E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A6E84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A6E84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Pr="004A6E84" w:rsidRDefault="00191E6D" w:rsidP="0019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91E6D" w:rsidRPr="004A6E84" w:rsidRDefault="00191E6D" w:rsidP="00191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E6D" w:rsidRDefault="00191E6D" w:rsidP="00191E6D"/>
    <w:p w:rsidR="00191E6D" w:rsidRDefault="00191E6D" w:rsidP="00191E6D"/>
    <w:p w:rsidR="00191E6D" w:rsidRDefault="00191E6D" w:rsidP="00191E6D"/>
    <w:p w:rsidR="00191E6D" w:rsidRDefault="00191E6D"/>
    <w:sectPr w:rsidR="00191E6D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EFB" w:rsidRDefault="00B44EFB">
      <w:pPr>
        <w:spacing w:after="0" w:line="240" w:lineRule="auto"/>
      </w:pPr>
      <w:r>
        <w:separator/>
      </w:r>
    </w:p>
  </w:endnote>
  <w:endnote w:type="continuationSeparator" w:id="0">
    <w:p w:rsidR="00B44EFB" w:rsidRDefault="00B4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EFB" w:rsidRDefault="00B44EFB">
      <w:pPr>
        <w:spacing w:after="0" w:line="240" w:lineRule="auto"/>
      </w:pPr>
      <w:r>
        <w:separator/>
      </w:r>
    </w:p>
  </w:footnote>
  <w:footnote w:type="continuationSeparator" w:id="0">
    <w:p w:rsidR="00B44EFB" w:rsidRDefault="00B4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191E6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E14">
          <w:rPr>
            <w:noProof/>
          </w:rPr>
          <w:t>20</w:t>
        </w:r>
        <w:r>
          <w:fldChar w:fldCharType="end"/>
        </w:r>
      </w:p>
    </w:sdtContent>
  </w:sdt>
  <w:p w:rsidR="00D35C3C" w:rsidRDefault="00B44E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B44EFB">
    <w:pPr>
      <w:pStyle w:val="a3"/>
      <w:jc w:val="center"/>
    </w:pPr>
  </w:p>
  <w:p w:rsidR="00D35C3C" w:rsidRDefault="00B44EF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6452"/>
    <w:multiLevelType w:val="hybridMultilevel"/>
    <w:tmpl w:val="D12E5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69"/>
    <w:rsid w:val="00191E6D"/>
    <w:rsid w:val="001A4E14"/>
    <w:rsid w:val="00810EAC"/>
    <w:rsid w:val="00B44EFB"/>
    <w:rsid w:val="00E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E6D"/>
  </w:style>
  <w:style w:type="paragraph" w:styleId="a5">
    <w:name w:val="List Paragraph"/>
    <w:basedOn w:val="a"/>
    <w:uiPriority w:val="34"/>
    <w:qFormat/>
    <w:rsid w:val="00191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E6D"/>
  </w:style>
  <w:style w:type="paragraph" w:styleId="a5">
    <w:name w:val="List Paragraph"/>
    <w:basedOn w:val="a"/>
    <w:uiPriority w:val="34"/>
    <w:qFormat/>
    <w:rsid w:val="0019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3977</Words>
  <Characters>22674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2020-09-18T09:33:00Z</dcterms:created>
  <dcterms:modified xsi:type="dcterms:W3CDTF">2020-09-18T09:33:00Z</dcterms:modified>
</cp:coreProperties>
</file>