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Майя Рыженкова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4Б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t>40.0%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Объясняет, чем миф отличается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In this module we have covered the following topics:</w:t>
              <w:br/>
              <w:t>Vocabulary: Months; cardinal and ordinal numbers; colours; family members; describing  people;</w:t>
              <w:br/>
              <w:t>Grammar: Have got: affirmative and negative; possessive 's; have got questions;</w:t>
              <w:br/>
              <w:t>Reading: An online profile; a webpage;</w:t>
              <w:br/>
              <w:t>Speaking: work in pairs (have got questions)</w:t>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Майя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Грузинский Язык Текла | Georgi</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 Фразы для знакомства: მე მქვია (меня зовут) მე ვარ / შენ გქვია (тебя зовут) / მას ჰქვია (его/её зовут).</w:t>
              <w:br/>
              <w:t>2. Конструкция ეს არის (это есть).</w:t>
              <w:br/>
              <w:t>3. Числа 1-10.</w:t>
              <w:br/>
              <w:t>4. 5 гласных и 8 согласных.</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