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color w:val="1A5276"/>
          <w:sz w:val="22"/>
          <w:szCs w:val="22"/>
        </w:rPr>
        <w:t xml:space="preserve">TELKOMNIKA Telecommunication Computing Electronics and Control</w:t>
      </w:r>
    </w:p>
    <w:p>
      <w:pPr>
        <w:spacing w:after="60"/>
        <w:jc w:val="center"/>
      </w:pPr>
      <w:r>
        <w:rPr>
          <w:rFonts w:ascii="Times New Roman" w:cs="Times New Roman" w:eastAsia="Times New Roman" w:hAnsi="Times New Roman"/>
          <w:sz w:val="18"/>
          <w:szCs w:val="18"/>
        </w:rPr>
        <w:t xml:space="preserve">Vol. xx, No. x, Bulan 2026, pp. 1~12
ISSN: 1693-6930, DOI: 10.12928/TELKOMNIKA.vxxi.xxxxx</w:t>
      </w:r>
    </w:p>
    <w:p>
      <w:pPr>
        <w:spacing w:after="80" w:before="120"/>
        <w:jc w:val="center"/>
      </w:pPr>
      <w:r>
        <w:rPr>
          <w:rFonts w:ascii="Times New Roman" w:cs="Times New Roman" w:eastAsia="Times New Roman" w:hAnsi="Times New Roman"/>
          <w:b/>
          <w:bCs/>
          <w:sz w:val="26"/>
          <w:szCs w:val="26"/>
        </w:rPr>
        <w:t xml:space="preserve">Pengembangan Model Konseptual Kecerdasan Spasial Berbasis Clustering K-Means++ dan Analisis Spatio-Temporal untuk Pemodelan Dinamis Potensi Pariwisata Kabupaten Magelang</w:t>
      </w:r>
    </w:p>
    <w:p>
      <w:pPr>
        <w:spacing w:after="40"/>
        <w:jc w:val="center"/>
      </w:pPr>
      <w:r>
        <w:rPr>
          <w:rFonts w:ascii="Times New Roman" w:cs="Times New Roman" w:eastAsia="Times New Roman" w:hAnsi="Times New Roman"/>
          <w:b/>
          <w:bCs/>
          <w:sz w:val="20"/>
          <w:szCs w:val="20"/>
        </w:rPr>
        <w:t xml:space="preserve">Kanafi</w:t>
      </w:r>
      <w:r>
        <w:rPr>
          <w:rFonts w:ascii="Times New Roman" w:cs="Times New Roman" w:eastAsia="Times New Roman" w:hAnsi="Times New Roman"/>
          <w:b/>
          <w:bCs/>
          <w:sz w:val="16"/>
          <w:szCs w:val="16"/>
          <w:vertAlign w:val="superscript"/>
        </w:rPr>
        <w:t xml:space="preserve">1</w:t>
      </w:r>
      <w:r>
        <w:rPr>
          <w:rFonts w:ascii="Times New Roman" w:cs="Times New Roman" w:eastAsia="Times New Roman" w:hAnsi="Times New Roman"/>
          <w:b/>
          <w:bCs/>
          <w:sz w:val="20"/>
          <w:szCs w:val="20"/>
        </w:rPr>
        <w:t xml:space="preserve">, Yusuf Wahyu Setiya Putra</w:t>
      </w:r>
      <w:r>
        <w:rPr>
          <w:rFonts w:ascii="Times New Roman" w:cs="Times New Roman" w:eastAsia="Times New Roman" w:hAnsi="Times New Roman"/>
          <w:b/>
          <w:bCs/>
          <w:sz w:val="16"/>
          <w:szCs w:val="16"/>
          <w:vertAlign w:val="superscript"/>
        </w:rPr>
        <w:t xml:space="preserve">2</w:t>
      </w:r>
      <w:r>
        <w:rPr>
          <w:rFonts w:ascii="Times New Roman" w:cs="Times New Roman" w:eastAsia="Times New Roman" w:hAnsi="Times New Roman"/>
          <w:b/>
          <w:bCs/>
          <w:sz w:val="20"/>
          <w:szCs w:val="20"/>
        </w:rPr>
        <w:t xml:space="preserve">, Mira Fitriana</w:t>
      </w:r>
      <w:r>
        <w:rPr>
          <w:rFonts w:ascii="Times New Roman" w:cs="Times New Roman" w:eastAsia="Times New Roman" w:hAnsi="Times New Roman"/>
          <w:b/>
          <w:bCs/>
          <w:sz w:val="16"/>
          <w:szCs w:val="16"/>
          <w:vertAlign w:val="superscript"/>
        </w:rPr>
        <w:t xml:space="preserve">3</w:t>
      </w:r>
    </w:p>
    <w:p>
      <w:pPr>
        <w:spacing w:after="20"/>
        <w:jc w:val="center"/>
      </w:pPr>
      <w:r>
        <w:rPr>
          <w:rFonts w:ascii="Times New Roman" w:cs="Times New Roman" w:eastAsia="Times New Roman" w:hAnsi="Times New Roman"/>
          <w:sz w:val="18"/>
          <w:szCs w:val="18"/>
        </w:rPr>
        <w:t xml:space="preserve">1,2,3Program Studi Informatika, STMIK Bina Patria, Magelang, Jawa Tengah, Indonesia</w:t>
      </w:r>
    </w:p>
    <w:p>
      <w:pPr>
        <w:spacing w:after="80"/>
        <w:jc w:val="center"/>
      </w:pPr>
      <w:r>
        <w:rPr>
          <w:rFonts w:ascii="Times New Roman" w:cs="Times New Roman" w:eastAsia="Times New Roman" w:hAnsi="Times New Roman"/>
          <w:sz w:val="18"/>
          <w:szCs w:val="18"/>
        </w:rPr>
        <w:t xml:space="preserve">Email: 1kanafi@stmikbp.ac.id, 2yusuf@stmikbp.ac.id, 3mira@stmikbp.ac.id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7238"/>
      </w:tblGrid>
      <w:tr>
        <w:tc>
          <w:tcPr>
            <w:tcW w:type="dxa" w:w="2200"/>
            <w:vMerge w:val="restart"/>
            <w:tcBorders>
              <w:top w:val="single" w:color="B2B2B2" w:sz="4"/>
              <w:left w:val="single" w:color="B2B2B2" w:sz="4"/>
              <w:bottom w:val="single" w:color="B2B2B2" w:sz="4"/>
              <w:right w:val="single" w:color="B2B2B2" w:sz="4"/>
            </w:tcBorders>
            <w:shd w:fill="F2F3F4" w:val="clear"/>
            <w:tcMar>
              <w:top w:type="dxa" w:w="80"/>
              <w:left w:type="dxa" w:w="100"/>
              <w:bottom w:type="dxa" w:w="80"/>
              <w:right w:type="dxa" w:w="100"/>
            </w:tcMar>
          </w:tcPr>
          <w:p>
            <w:pPr>
              <w:spacing w:after="60"/>
            </w:pPr>
            <w:r>
              <w:rPr>
                <w:rFonts w:ascii="Times New Roman" w:cs="Times New Roman" w:eastAsia="Times New Roman" w:hAnsi="Times New Roman"/>
                <w:b/>
                <w:bCs/>
                <w:sz w:val="18"/>
                <w:szCs w:val="18"/>
              </w:rPr>
              <w:t xml:space="preserve">Riwayat Artikel:</w:t>
            </w:r>
          </w:p>
          <w:p>
            <w:pPr>
              <w:spacing w:after="20"/>
            </w:pPr>
            <w:r>
              <w:rPr>
                <w:rFonts w:ascii="Times New Roman" w:cs="Times New Roman" w:eastAsia="Times New Roman" w:hAnsi="Times New Roman"/>
                <w:sz w:val="18"/>
                <w:szCs w:val="18"/>
              </w:rPr>
              <w:t xml:space="preserve">Diterima 10 Jan 2026</w:t>
            </w:r>
          </w:p>
          <w:p>
            <w:pPr>
              <w:spacing w:after="20"/>
            </w:pPr>
            <w:r>
              <w:rPr>
                <w:rFonts w:ascii="Times New Roman" w:cs="Times New Roman" w:eastAsia="Times New Roman" w:hAnsi="Times New Roman"/>
                <w:sz w:val="18"/>
                <w:szCs w:val="18"/>
              </w:rPr>
              <w:t xml:space="preserve">Direvisi 15 Mar 2026</w:t>
            </w:r>
          </w:p>
          <w:p>
            <w:pPr>
              <w:spacing w:after="80"/>
            </w:pPr>
            <w:r>
              <w:rPr>
                <w:rFonts w:ascii="Times New Roman" w:cs="Times New Roman" w:eastAsia="Times New Roman" w:hAnsi="Times New Roman"/>
                <w:sz w:val="18"/>
                <w:szCs w:val="18"/>
              </w:rPr>
              <w:t xml:space="preserve">Diterima 20 Apr 2026</w:t>
            </w:r>
          </w:p>
          <w:p>
            <w:pPr>
              <w:spacing w:after="40"/>
            </w:pPr>
            <w:r>
              <w:rPr>
                <w:rFonts w:ascii="Times New Roman" w:cs="Times New Roman" w:eastAsia="Times New Roman" w:hAnsi="Times New Roman"/>
                <w:b/>
                <w:bCs/>
                <w:sz w:val="18"/>
                <w:szCs w:val="18"/>
              </w:rPr>
              <w:t xml:space="preserve">Kata Kunci:</w:t>
            </w:r>
          </w:p>
          <w:p>
            <w:r>
              <w:rPr>
                <w:rFonts w:ascii="Times New Roman" w:cs="Times New Roman" w:eastAsia="Times New Roman" w:hAnsi="Times New Roman"/>
                <w:sz w:val="17"/>
                <w:szCs w:val="17"/>
              </w:rPr>
              <w:t xml:space="preserve">K-Means++; Kecerdasan Spasial; Analisis Spatio-Temporal; Potensi Pariwisata; Kabupaten Magelang</w:t>
            </w:r>
          </w:p>
        </w:tc>
        <w:tc>
          <w:tcPr>
            <w:tcW w:type="dxa" w:w="200"/>
            <w:vMerge w:val="restart"/>
            <w:tcBorders>
              <w:top w:val="none"/>
              <w:left w:val="none"/>
              <w:bottom w:val="none"/>
              <w:right w:val="none"/>
            </w:tcBorders>
          </w:tcPr>
          <w:p>
            <w:r>
              <w:t xml:space="preserve"/>
            </w:r>
          </w:p>
        </w:tc>
        <w:tc>
          <w:tcPr>
            <w:tcW w:type="dxa" w:w="7238"/>
            <w:tcBorders>
              <w:top w:val="single" w:color="B2B2B2" w:sz="4"/>
              <w:left w:val="single" w:color="B2B2B2" w:sz="4"/>
              <w:bottom w:val="single" w:color="B2B2B2" w:sz="4"/>
              <w:right w:val="single" w:color="B2B2B2" w:sz="4"/>
            </w:tcBorders>
            <w:shd w:fill="FFFFFF" w:val="clear"/>
            <w:tcMar>
              <w:top w:type="dxa" w:w="80"/>
              <w:left w:type="dxa" w:w="100"/>
              <w:bottom w:type="dxa" w:w="80"/>
              <w:right w:type="dxa" w:w="100"/>
            </w:tcMar>
          </w:tcPr>
          <w:p>
            <w:pPr>
              <w:spacing w:after="40"/>
            </w:pPr>
            <w:r>
              <w:rPr>
                <w:rFonts w:ascii="Times New Roman" w:cs="Times New Roman" w:eastAsia="Times New Roman" w:hAnsi="Times New Roman"/>
                <w:b/>
                <w:bCs/>
                <w:sz w:val="18"/>
                <w:szCs w:val="18"/>
              </w:rPr>
              <w:t xml:space="preserve">ABSTRAK</w:t>
            </w:r>
          </w:p>
          <w:p>
            <w:pPr>
              <w:spacing w:after="40" w:line="240"/>
              <w:jc w:val="both"/>
            </w:pPr>
            <w:r>
              <w:rPr>
                <w:rFonts w:ascii="Times New Roman" w:cs="Times New Roman" w:eastAsia="Times New Roman" w:hAnsi="Times New Roman"/>
                <w:sz w:val="18"/>
                <w:szCs w:val="18"/>
              </w:rPr>
              <w:t xml:space="preserve">Pariwisata Kabupaten Magelang memiliki potensi signifikan yang mencakup dimensi alam, budaya, sejarah, dan religi. Namun, pengembangan strategis masih terkendala oleh ketiadaan pemodelan potensi berbasis data yang dinamis dan mengintegrasikan dimensi spasial dan temporal secara komprehensif. Penelitian ini mengusulkan model konseptual kecerdasan spasial berbasis clustering K-Means++ dan analisis spatio-temporal untuk pemodelan dinamis potensi pariwisata. Menggunakan dataset multivariat dari 15 destinasi wisata mencakup kualitas atraksi, aksesibilitas, fasilitas, jumlah pengunjung, pendapatan, dan koordinat geografis, algoritma K-Means++ menghasilkan tiga kategori klaster: Klaster 1 (Unggulan) didominasi Candi Borobudur, Klaster 2 (Berkembang) terdiri 8 destinasi, dan Klaster 3 (Potensial) mencakup 6 destinasi. Validasi model menggunakan Silhouette Coefficient (SC = 0,500), Davies-Bouldin Index (DBI = 0,893), dan Calinski-Harabasz Index (CHI = 7,05) mengkonfirmasi kualitas klaster yang dapat diterima. Analisis spatio-temporal mengungkap proyeksi kunjungan wisatawan yang dinamis untuk 2025-2027, dengan Gunung Andong dan Bukit Rhema menunjukkan tingkat pertumbuhan tertinggi. Framework konseptual kecerdasan spasial yang dihasilkan menjadi landasan bagi sistem rekomendasi pariwisata dan aplikasi pemetaan berbasis augmented reality.</w:t>
            </w:r>
          </w:p>
          <w:p>
            <w:pPr>
              <w:spacing w:after="20"/>
            </w:pPr>
            <w:r>
              <w:rPr>
                <w:rFonts w:ascii="Times New Roman" w:cs="Times New Roman" w:eastAsia="Times New Roman" w:hAnsi="Times New Roman"/>
                <w:sz w:val="16"/>
                <w:szCs w:val="16"/>
              </w:rPr>
              <w:t xml:space="preserve">Artikel ini bersifat open access di bawah lisensi CC BY-SA.</w:t>
            </w:r>
          </w:p>
        </w:tc>
      </w:tr>
      <w:tr>
        <w:tc>
          <w:tcPr>
            <w:vMerge w:val="continue"/>
            <w:tcBorders>
              <w:top w:val="single" w:color="B2B2B2" w:sz="4"/>
              <w:left w:val="single" w:color="B2B2B2" w:sz="4"/>
              <w:bottom w:val="single" w:color="B2B2B2" w:sz="4"/>
              <w:right w:val="single" w:color="B2B2B2" w:sz="4"/>
            </w:tcBorders>
          </w:tcPr>
          <w:p/>
        </w:tc>
        <w:tc>
          <w:tcPr>
            <w:vMerge w:val="continue"/>
            <w:tcBorders>
              <w:top w:val="none"/>
              <w:left w:val="none"/>
              <w:bottom w:val="none"/>
              <w:right w:val="none"/>
            </w:tcBorders>
          </w:tcPr>
          <w:p/>
        </w:tc>
        <w:tc>
          <w:tcPr>
            <w:tcW w:type="dxa" w:w="7238"/>
            <w:tcBorders>
              <w:top w:val="single" w:color="B2B2B2" w:sz="4"/>
              <w:left w:val="single" w:color="B2B2B2" w:sz="4"/>
              <w:bottom w:val="single" w:color="B2B2B2" w:sz="4"/>
              <w:right w:val="single" w:color="B2B2B2" w:sz="4"/>
            </w:tcBorders>
            <w:shd w:fill="F2F3F4" w:val="clear"/>
            <w:tcMar>
              <w:top w:type="dxa" w:w="60"/>
              <w:left w:type="dxa" w:w="100"/>
              <w:bottom w:type="dxa" w:w="60"/>
              <w:right w:type="dxa" w:w="100"/>
            </w:tcMar>
          </w:tcPr>
          <w:p>
            <w:pPr>
              <w:spacing w:after="20"/>
            </w:pPr>
            <w:r>
              <w:rPr>
                <w:rFonts w:ascii="Times New Roman" w:cs="Times New Roman" w:eastAsia="Times New Roman" w:hAnsi="Times New Roman"/>
                <w:b/>
                <w:bCs/>
                <w:sz w:val="18"/>
                <w:szCs w:val="18"/>
              </w:rPr>
              <w:t xml:space="preserve">Penulis Korespondensi:</w:t>
            </w:r>
          </w:p>
          <w:p>
            <w:r>
              <w:rPr>
                <w:rFonts w:ascii="Times New Roman" w:cs="Times New Roman" w:eastAsia="Times New Roman" w:hAnsi="Times New Roman"/>
                <w:sz w:val="17"/>
                <w:szCs w:val="17"/>
              </w:rPr>
              <w:t xml:space="preserve">Kanafi, Program Studi Informatika, STMIK Bina Patria, Jl. Raden Saleh No.2, Magelang, Jawa Tengah, Indonesia. Email: kanafi@stmikbp.ac.id</w:t>
            </w:r>
          </w:p>
        </w:tc>
      </w:tr>
    </w:tbl>
    <w:p>
      <w:pPr>
        <w:spacing w:after="60"/>
      </w:pPr>
      <w:r>
        <w:t xml:space="preserve"/>
      </w:r>
    </w:p>
    <w:p>
      <w:pPr>
        <w:spacing w:after="60" w:before="120"/>
      </w:pPr>
      <w:r>
        <w:rPr>
          <w:rFonts w:ascii="Times New Roman" w:cs="Times New Roman" w:eastAsia="Times New Roman" w:hAnsi="Times New Roman"/>
          <w:b/>
          <w:bCs/>
          <w:caps/>
          <w:sz w:val="20"/>
          <w:szCs w:val="20"/>
        </w:rPr>
        <w:t xml:space="preserve">1. PENDAHULUAN</w:t>
      </w:r>
    </w:p>
    <w:p>
      <w:pPr>
        <w:spacing w:after="80" w:line="240"/>
        <w:jc w:val="both"/>
      </w:pPr>
      <w:r>
        <w:rPr>
          <w:rFonts w:ascii="Times New Roman" w:cs="Times New Roman" w:eastAsia="Times New Roman" w:hAnsi="Times New Roman"/>
          <w:b w:val="false"/>
          <w:bCs w:val="false"/>
          <w:color w:val="000000"/>
          <w:sz w:val="20"/>
          <w:szCs w:val="20"/>
        </w:rPr>
        <w:t xml:space="preserve">Pariwisata merupakan sektor ekonomi strategis yang memberikan kontribusi signifikan terhadap pendapatan daerah, penyerapan tenaga kerja, dan peningkatan citra destinasi [1]. Kabupaten Magelang di Jawa Tengah, Indonesia, memiliki aset pariwisata yang beragam mencakup dimensi alam, budaya, sejarah, dan religi, dengan Candi Borobudur sebagai daya tarik ikonik utama yang menarik wisatawan domestik maupun mancanegara [2]. Meski demikian, destinasi pendukung di kabupaten ini masih dimanfaatkan secara suboptimal akibat pendekatan pemetaan potensi yang bersifat parsial dan didominasi pendekatan statis yang gagal menangkap dinamika pola kunjungan dan evolusi destinasi [3].</w:t>
      </w:r>
    </w:p>
    <w:p>
      <w:pPr>
        <w:spacing w:after="60"/>
      </w:pPr>
      <w:r>
        <w:t xml:space="preserve"/>
      </w:r>
    </w:p>
    <w:p>
      <w:pPr>
        <w:spacing w:after="80" w:line="240"/>
        <w:jc w:val="both"/>
      </w:pPr>
      <w:r>
        <w:rPr>
          <w:rFonts w:ascii="Times New Roman" w:cs="Times New Roman" w:eastAsia="Times New Roman" w:hAnsi="Times New Roman"/>
          <w:b w:val="false"/>
          <w:bCs w:val="false"/>
          <w:color w:val="000000"/>
          <w:sz w:val="20"/>
          <w:szCs w:val="20"/>
        </w:rPr>
        <w:t xml:space="preserve">Perkembangan terkini dalam ilmu data dan kecerdasan spasial membuka peluang untuk menerapkan metodologi clustering dan analisis spasial dalam segmentasi destinasi wisata berdasarkan karakteristik multivariat yang mencakup kualitas atraksi, aksesibilitas, fasilitas, intensitas kunjungan, pengeluaran, dan rating wisatawan [4]. Algoritma K-Means beserta turunannya telah banyak diterapkan dalam segmentasi destinasi dan analisis pengembangan pariwisata di berbagai negara; namun, sebagian besar studi yang ada menggunakan pendekatan statis tanpa mempertimbangkan dinamika temporal atau struktur spasial secara memadai [5].</w:t>
      </w:r>
    </w:p>
    <w:p>
      <w:pPr>
        <w:spacing w:after="60"/>
      </w:pPr>
      <w:r>
        <w:t xml:space="preserve"/>
      </w:r>
    </w:p>
    <w:p>
      <w:pPr>
        <w:spacing w:after="80" w:line="240"/>
        <w:jc w:val="both"/>
      </w:pPr>
      <w:r>
        <w:rPr>
          <w:rFonts w:ascii="Times New Roman" w:cs="Times New Roman" w:eastAsia="Times New Roman" w:hAnsi="Times New Roman"/>
          <w:b w:val="false"/>
          <w:bCs w:val="false"/>
          <w:color w:val="000000"/>
          <w:sz w:val="20"/>
          <w:szCs w:val="20"/>
        </w:rPr>
        <w:t xml:space="preserve">Penelitian terdahulu dalam skema PDP mengembangkan model clustering potensi pariwisata Kabupaten Magelang menggunakan algoritma K-Means++ dengan variabel multi-kriteria dan visualisasi spasial dasar, menghasilkan kategori potensi tinggi, sedang, dan rendah sebagai kerangka pemetaan berbasis data [7]. Namun, model tersebut masih bersifat statis, tidak mengintegrasikan dimensi temporal (perubahan pola kunjungan, rating, dan dinamika perilaku wisatawan dari waktu ke waktu), dan belum mengembangkan kerangka model kecerdasan spasial yang dapat menjadi fondasi bagi sistem rekomendasi atau pendukung keputusan yang lebih canggih.</w:t>
      </w:r>
    </w:p>
    <w:p>
      <w:pPr>
        <w:spacing w:after="60"/>
      </w:pPr>
      <w:r>
        <w:t xml:space="preserve"/>
      </w:r>
    </w:p>
    <w:p>
      <w:pPr>
        <w:spacing w:after="80" w:line="240"/>
        <w:jc w:val="both"/>
      </w:pPr>
      <w:r>
        <w:rPr>
          <w:rFonts w:ascii="Times New Roman" w:cs="Times New Roman" w:eastAsia="Times New Roman" w:hAnsi="Times New Roman"/>
          <w:b w:val="false"/>
          <w:bCs w:val="false"/>
          <w:color w:val="000000"/>
          <w:sz w:val="20"/>
          <w:szCs w:val="20"/>
        </w:rPr>
        <w:t xml:space="preserve">Berdasarkan kondisi tersebut, penelitian ini mengusulkan model konseptual kecerdasan spasial berbasis clustering K-Means++ dan analisis spatio-temporal untuk pemodelan dinamis potensi pariwisata Kabupaten Magelang. Penelitian ini menjawab tiga pertanyaan utama: (1) Bagaimana merancang model clustering K-Means++ yang robust untuk pemetaan potensi pariwisata? (2) Bagaimana mengintegrasikan analisis spasial dan temporal ke dalam model clustering? (3) Bagaimana merumuskan kerangka pemanfaatan model kecerdasan spasial sebagai fondasi sistem rekomendasi pariwisata pada penelitian selanjutnya?</w:t>
      </w:r>
    </w:p>
    <w:p>
      <w:pPr>
        <w:spacing w:after="60"/>
      </w:pPr>
      <w:r>
        <w:t xml:space="preserve"/>
      </w:r>
    </w:p>
    <w:p>
      <w:pPr>
        <w:spacing w:after="60" w:before="120"/>
      </w:pPr>
      <w:r>
        <w:rPr>
          <w:rFonts w:ascii="Times New Roman" w:cs="Times New Roman" w:eastAsia="Times New Roman" w:hAnsi="Times New Roman"/>
          <w:b/>
          <w:bCs/>
          <w:caps/>
          <w:sz w:val="20"/>
          <w:szCs w:val="20"/>
        </w:rPr>
        <w:t xml:space="preserve">2. METODE</w:t>
      </w:r>
    </w:p>
    <w:p>
      <w:pPr>
        <w:spacing w:after="80" w:line="240"/>
        <w:jc w:val="both"/>
      </w:pPr>
      <w:r>
        <w:rPr>
          <w:rFonts w:ascii="Times New Roman" w:cs="Times New Roman" w:eastAsia="Times New Roman" w:hAnsi="Times New Roman"/>
          <w:b w:val="false"/>
          <w:bCs w:val="false"/>
          <w:color w:val="000000"/>
          <w:sz w:val="20"/>
          <w:szCs w:val="20"/>
        </w:rPr>
        <w:t xml:space="preserve">Penelitian ini menggunakan metodologi kuantitatif yang mengintegrasikan data primer dan sekunder dalam kerangka ilmu data dan Sistem Informasi Geografis (SIG) [14]. Pengumpulan data mencakup sumber sekunder dari Dinas Pariwisata, Badan Pusat Statistik (BPS), dan Badan Perencanaan Pembangunan Daerah (Bappeda) Kabupaten Magelang, dilengkapi dengan data spasial berupa shapefile batas administrasi dan koordinat lokasi destinasi [15]. Dataset terdiri dari 15 destinasi wisata dengan 12 atribut mencakup kualitas atraksi, aksesibilitas, fasilitas, jumlah pengunjung tahunan, pendapatan, koordinat geografis, tren pertumbuhan tahun ke tahun, dan klasifikasi zona temporal.</w:t>
      </w:r>
    </w:p>
    <w:p>
      <w:pPr>
        <w:spacing w:after="60"/>
      </w:pPr>
      <w:r>
        <w:t xml:space="preserve"/>
      </w:r>
    </w:p>
    <w:p>
      <w:pPr>
        <w:spacing w:after="40" w:before="80"/>
      </w:pPr>
      <w:r>
        <w:rPr>
          <w:rFonts w:ascii="Times New Roman" w:cs="Times New Roman" w:eastAsia="Times New Roman" w:hAnsi="Times New Roman"/>
          <w:b/>
          <w:bCs/>
          <w:sz w:val="20"/>
          <w:szCs w:val="20"/>
        </w:rPr>
        <w:t xml:space="preserve">2.1. Praproses dan Normalisasi Data</w:t>
      </w:r>
    </w:p>
    <w:p>
      <w:pPr>
        <w:spacing w:after="80" w:line="240"/>
        <w:jc w:val="both"/>
      </w:pPr>
      <w:r>
        <w:rPr>
          <w:rFonts w:ascii="Times New Roman" w:cs="Times New Roman" w:eastAsia="Times New Roman" w:hAnsi="Times New Roman"/>
          <w:b w:val="false"/>
          <w:bCs w:val="false"/>
          <w:color w:val="000000"/>
          <w:sz w:val="20"/>
          <w:szCs w:val="20"/>
        </w:rPr>
        <w:t xml:space="preserve">Data mentah mengalami praproses sistematis termasuk penanganan nilai hilang, penanganan outlier, dan normalisasi fitur menggunakan penskalaan Min-Max [16]. Formula normalisasi Min-Max mentransformasi setiap nilai atribut x ke rentang normalisasi [0, 1]:</w:t>
      </w:r>
    </w:p>
    <w:p>
      <w:pPr>
        <w:spacing w:after="60"/>
        <w:jc w:val="center"/>
      </w:pPr>
      <w:r>
        <w:rPr>
          <w:rFonts w:ascii="Times New Roman" w:cs="Times New Roman" w:eastAsia="Times New Roman" w:hAnsi="Times New Roman"/>
          <w:b/>
          <w:bCs/>
          <w:sz w:val="20"/>
          <w:szCs w:val="20"/>
        </w:rPr>
        <w:t xml:space="preserve">X_norm = (X - X_min) / (X_max - X_min)</w:t>
      </w:r>
    </w:p>
    <w:p>
      <w:pPr>
        <w:spacing w:after="80" w:line="240"/>
        <w:jc w:val="both"/>
      </w:pPr>
      <w:r>
        <w:rPr>
          <w:rFonts w:ascii="Times New Roman" w:cs="Times New Roman" w:eastAsia="Times New Roman" w:hAnsi="Times New Roman"/>
          <w:b w:val="false"/>
          <w:bCs w:val="false"/>
          <w:color w:val="000000"/>
          <w:sz w:val="20"/>
          <w:szCs w:val="20"/>
        </w:rPr>
        <w:t xml:space="preserve">Normalisasi ini memastikan atribut dengan skala pengukuran berbeda berkontribusi secara proporsional terhadap komputasi clustering.</w:t>
      </w:r>
    </w:p>
    <w:p>
      <w:pPr>
        <w:spacing w:after="60"/>
      </w:pPr>
      <w:r>
        <w:t xml:space="preserve"/>
      </w:r>
    </w:p>
    <w:p>
      <w:pPr>
        <w:spacing w:after="40" w:before="80"/>
      </w:pPr>
      <w:r>
        <w:rPr>
          <w:rFonts w:ascii="Times New Roman" w:cs="Times New Roman" w:eastAsia="Times New Roman" w:hAnsi="Times New Roman"/>
          <w:b/>
          <w:bCs/>
          <w:sz w:val="20"/>
          <w:szCs w:val="20"/>
        </w:rPr>
        <w:t xml:space="preserve">2.2. Algoritma Clustering K-Means++</w:t>
      </w:r>
    </w:p>
    <w:p>
      <w:pPr>
        <w:spacing w:after="80" w:line="240"/>
        <w:jc w:val="both"/>
      </w:pPr>
      <w:r>
        <w:rPr>
          <w:rFonts w:ascii="Times New Roman" w:cs="Times New Roman" w:eastAsia="Times New Roman" w:hAnsi="Times New Roman"/>
          <w:b w:val="false"/>
          <w:bCs w:val="false"/>
          <w:color w:val="000000"/>
          <w:sz w:val="20"/>
          <w:szCs w:val="20"/>
        </w:rPr>
        <w:t xml:space="preserve">Algoritma K-Means++ [18] dipilih dibandingkan K-Means standar karena mekanisme inisialisasi sentroid berbasis probabilitas proporsional, yang menjamin konvergensi lebih cepat dan menghindari inisialisasi buruk yang dapat menghasilkan solusi lokal suboptimal. Prosedur inisialisasi memilih sentroid pertama secara acak seragam, kemudian memilih sentroid berikutnya dengan probabilitas proporsional terhadap D²(x) - jarak minimum kuadrat dari setiap titik data ke sentroid terdekat yang telah dipilih.</w:t>
      </w:r>
    </w:p>
    <w:p>
      <w:pPr>
        <w:spacing w:after="80" w:line="240"/>
        <w:jc w:val="both"/>
      </w:pPr>
      <w:r>
        <w:rPr>
          <w:rFonts w:ascii="Times New Roman" w:cs="Times New Roman" w:eastAsia="Times New Roman" w:hAnsi="Times New Roman"/>
          <w:b w:val="false"/>
          <w:bCs w:val="false"/>
          <w:color w:val="000000"/>
          <w:sz w:val="20"/>
          <w:szCs w:val="20"/>
        </w:rPr>
        <w:t xml:space="preserve">Proses clustering melakukan iterasi: (1) menghitung jarak Euclidean dari setiap titik data ke semua sentroid, (2) menugaskan setiap destinasi ke sentroid terdekat, (3) memperbarui sentroid sebagai rata-rata anggota klaster yang ditugaskan, dan (4) mengulang hingga konvergensi (pergeseran sentroid Δ &lt; ε = 0,0001). Eksperimen dilakukan dengan K = 3 klaster yang merepresentasikan kategori Unggulan, Berkembang, dan Potensial.</w:t>
      </w:r>
    </w:p>
    <w:p>
      <w:pPr>
        <w:spacing w:after="60"/>
      </w:pPr>
      <w:r>
        <w:t xml:space="preserve"/>
      </w:r>
    </w:p>
    <w:p>
      <w:pPr>
        <w:spacing w:after="40" w:before="80"/>
      </w:pPr>
      <w:r>
        <w:rPr>
          <w:rFonts w:ascii="Times New Roman" w:cs="Times New Roman" w:eastAsia="Times New Roman" w:hAnsi="Times New Roman"/>
          <w:b/>
          <w:bCs/>
          <w:sz w:val="20"/>
          <w:szCs w:val="20"/>
        </w:rPr>
        <w:t xml:space="preserve">2.3. Integrasi Spatio-Temporal</w:t>
      </w:r>
    </w:p>
    <w:p>
      <w:pPr>
        <w:spacing w:after="80" w:line="240"/>
        <w:jc w:val="both"/>
      </w:pPr>
      <w:r>
        <w:rPr>
          <w:rFonts w:ascii="Times New Roman" w:cs="Times New Roman" w:eastAsia="Times New Roman" w:hAnsi="Times New Roman"/>
          <w:b w:val="false"/>
          <w:bCs w:val="false"/>
          <w:color w:val="000000"/>
          <w:sz w:val="20"/>
          <w:szCs w:val="20"/>
        </w:rPr>
        <w:t xml:space="preserve">Integrasi kecerdasan spasial mengintegrasikan koordinat geografis (bujur, lintang), batas administrasi, dan data jaringan jalan melalui pemetaan berbasis library SIG dan analisis spasial [14]. Analisis temporal melacak perubahan keanggotaan klaster lintas periode pengamatan untuk menangkap pola dinamis destinasi. Proyeksi pengunjung tiga tahun (2025-2027) dihitung menggunakan formula pertumbuhan majemuk tahun ke tahun per destinasi.</w:t>
      </w:r>
    </w:p>
    <w:p>
      <w:pPr>
        <w:spacing w:after="60"/>
      </w:pPr>
      <w:r>
        <w:t xml:space="preserve"/>
      </w:r>
    </w:p>
    <w:p>
      <w:pPr>
        <w:spacing w:after="40" w:before="80"/>
      </w:pPr>
      <w:r>
        <w:rPr>
          <w:rFonts w:ascii="Times New Roman" w:cs="Times New Roman" w:eastAsia="Times New Roman" w:hAnsi="Times New Roman"/>
          <w:b/>
          <w:bCs/>
          <w:sz w:val="20"/>
          <w:szCs w:val="20"/>
        </w:rPr>
        <w:t xml:space="preserve">2.4. Metrik Validasi Model</w:t>
      </w:r>
    </w:p>
    <w:p>
      <w:pPr>
        <w:spacing w:after="80" w:line="240"/>
        <w:jc w:val="both"/>
      </w:pPr>
      <w:r>
        <w:rPr>
          <w:rFonts w:ascii="Times New Roman" w:cs="Times New Roman" w:eastAsia="Times New Roman" w:hAnsi="Times New Roman"/>
          <w:b w:val="false"/>
          <w:bCs w:val="false"/>
          <w:color w:val="000000"/>
          <w:sz w:val="20"/>
          <w:szCs w:val="20"/>
        </w:rPr>
        <w:t xml:space="preserve">Tiga metrik validasi klaster yang saling melengkapi digunakan untuk menilai kualitas model [19]: (1) Silhouette Coefficient (SC): mengukur kohesi dan separasi, rentang [-1, +1]; (2) Davies-Bouldin Index (DBI): mengukur rasio dispersi rata-rata intra-klaster terhadap jarak antar-sentroid, nilai lebih rendah (DBI &lt; 1,0) mengindikasikan kualitas lebih baik; (3) Calinski-Harabasz Index (CHI): mengevaluasi rasio jumlah kuadrat antar-klaster terhadap dalam-klaster.</w:t>
      </w:r>
    </w:p>
    <w:p>
      <w:pPr>
        <w:spacing w:after="60"/>
      </w:pPr>
      <w:r>
        <w:t xml:space="preserve"/>
      </w:r>
    </w:p>
    <w:p>
      <w:pPr>
        <w:spacing w:after="40" w:before="8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33750"/>
                    </a:xfrm>
                    <a:prstGeom prst="rect">
                      <a:avLst/>
                    </a:prstGeom>
                  </pic:spPr>
                </pic:pic>
              </a:graphicData>
            </a:graphic>
          </wp:inline>
        </w:drawing>
      </w:r>
    </w:p>
    <w:p>
      <w:pPr>
        <w:spacing w:after="80" w:before="40"/>
        <w:jc w:val="center"/>
      </w:pPr>
      <w:r>
        <w:rPr>
          <w:rFonts w:ascii="Times New Roman" w:cs="Times New Roman" w:eastAsia="Times New Roman" w:hAnsi="Times New Roman"/>
          <w:b/>
          <w:bCs/>
          <w:sz w:val="18"/>
          <w:szCs w:val="18"/>
        </w:rPr>
        <w:t xml:space="preserve">Gambar 1. Kerangka Konseptual Kecerdasan Spasial</w:t>
      </w:r>
    </w:p>
    <w:p>
      <w:pPr>
        <w:spacing w:after="60"/>
      </w:pPr>
      <w:r>
        <w:t xml:space="preserve"/>
      </w:r>
    </w:p>
    <w:p>
      <w:pPr>
        <w:spacing w:after="60" w:before="120"/>
      </w:pPr>
      <w:r>
        <w:rPr>
          <w:rFonts w:ascii="Times New Roman" w:cs="Times New Roman" w:eastAsia="Times New Roman" w:hAnsi="Times New Roman"/>
          <w:b/>
          <w:bCs/>
          <w:caps/>
          <w:sz w:val="20"/>
          <w:szCs w:val="20"/>
        </w:rPr>
        <w:t xml:space="preserve">3. HASIL DAN PEMBAHASAN</w:t>
      </w:r>
    </w:p>
    <w:p>
      <w:pPr>
        <w:spacing w:after="40" w:before="80"/>
      </w:pPr>
      <w:r>
        <w:rPr>
          <w:rFonts w:ascii="Times New Roman" w:cs="Times New Roman" w:eastAsia="Times New Roman" w:hAnsi="Times New Roman"/>
          <w:b/>
          <w:bCs/>
          <w:sz w:val="20"/>
          <w:szCs w:val="20"/>
        </w:rPr>
        <w:t xml:space="preserve">3.1. Deskripsi Dataset</w:t>
      </w:r>
    </w:p>
    <w:p>
      <w:pPr>
        <w:spacing w:after="80" w:line="240"/>
        <w:jc w:val="both"/>
      </w:pPr>
      <w:r>
        <w:rPr>
          <w:rFonts w:ascii="Times New Roman" w:cs="Times New Roman" w:eastAsia="Times New Roman" w:hAnsi="Times New Roman"/>
          <w:b w:val="false"/>
          <w:bCs w:val="false"/>
          <w:color w:val="000000"/>
          <w:sz w:val="20"/>
          <w:szCs w:val="20"/>
        </w:rPr>
        <w:t xml:space="preserve">Dataset mencakup 15 destinasi wisata di Kabupaten Magelang dengan atribut multivariat termasuk koordinat spasial, jumlah pengunjung tahunan, rating kualitas, aksesibilitas, skor fasilitas, data pendapatan, dan klasifikasi zona temporal. Tabel 1 menyajikan dataset lengkap yang digunakan dalam penelitian ini.</w:t>
      </w:r>
    </w:p>
    <w:p>
      <w:pPr>
        <w:spacing w:after="60"/>
      </w:pPr>
      <w:r>
        <w:t xml:space="preserve"/>
      </w:r>
    </w:p>
    <w:p>
      <w:pPr>
        <w:spacing w:after="40"/>
      </w:pPr>
      <w:r>
        <w:rPr>
          <w:rFonts w:ascii="Times New Roman" w:cs="Times New Roman" w:eastAsia="Times New Roman" w:hAnsi="Times New Roman"/>
          <w:b/>
          <w:bCs/>
          <w:sz w:val="18"/>
          <w:szCs w:val="18"/>
        </w:rPr>
        <w:t xml:space="preserve">Tabel 1. Dataset Spatio-Temporal Destinasi Wisata di Kabupaten Magelang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900"/>
        <w:gridCol w:w="600"/>
        <w:gridCol w:w="600"/>
        <w:gridCol w:w="700"/>
        <w:gridCol w:w="1000"/>
        <w:gridCol w:w="900"/>
        <w:gridCol w:w="1038"/>
      </w:tblGrid>
      <w:tr>
        <w:tc>
          <w:tcPr>
            <w:tcW w:type="dxa" w:w="4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ID</w:t>
            </w:r>
          </w:p>
        </w:tc>
        <w:tc>
          <w:tcPr>
            <w:tcW w:type="dxa" w:w="16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Destinasi</w:t>
            </w:r>
          </w:p>
        </w:tc>
        <w:tc>
          <w:tcPr>
            <w:tcW w:type="dxa" w:w="9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Kunjungan/Th</w:t>
            </w:r>
          </w:p>
        </w:tc>
        <w:tc>
          <w:tcPr>
            <w:tcW w:type="dxa" w:w="6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Rating</w:t>
            </w:r>
          </w:p>
        </w:tc>
        <w:tc>
          <w:tcPr>
            <w:tcW w:type="dxa" w:w="6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Akses</w:t>
            </w:r>
          </w:p>
        </w:tc>
        <w:tc>
          <w:tcPr>
            <w:tcW w:type="dxa" w:w="7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Fasilitas</w:t>
            </w:r>
          </w:p>
        </w:tc>
        <w:tc>
          <w:tcPr>
            <w:tcW w:type="dxa" w:w="10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Pendapatan (Jt Rp)</w:t>
            </w:r>
          </w:p>
        </w:tc>
        <w:tc>
          <w:tcPr>
            <w:tcW w:type="dxa" w:w="9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YoY (%)</w:t>
            </w:r>
          </w:p>
        </w:tc>
        <w:tc>
          <w:tcPr>
            <w:tcW w:type="dxa" w:w="1038"/>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Zona Temporal</w:t>
            </w:r>
          </w:p>
        </w:tc>
      </w:tr>
      <w:tr>
        <w:tc>
          <w:tcPr>
            <w:tcW w:type="dxa" w:w="4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w:t>
            </w:r>
          </w:p>
        </w:tc>
        <w:tc>
          <w:tcPr>
            <w:tcW w:type="dxa" w:w="1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Candi Borobudur</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1.250.000</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4,9</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5</w:t>
            </w:r>
          </w:p>
        </w:tc>
        <w:tc>
          <w:tcPr>
            <w:tcW w:type="dxa" w:w="7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5</w:t>
            </w:r>
          </w:p>
        </w:tc>
        <w:tc>
          <w:tcPr>
            <w:tcW w:type="dxa" w:w="1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18.500</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12,3%</w:t>
            </w:r>
          </w:p>
        </w:tc>
        <w:tc>
          <w:tcPr>
            <w:tcW w:type="dxa" w:w="10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Puncak</w:t>
            </w:r>
          </w:p>
        </w:tc>
      </w:tr>
      <w:tr>
        <w:tc>
          <w:tcPr>
            <w:tcW w:type="dxa" w:w="4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Punthuk Setumbu</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185.000</w:t>
            </w:r>
          </w:p>
        </w:tc>
        <w:tc>
          <w:tcPr>
            <w:tcW w:type="dxa" w:w="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4,7</w:t>
            </w:r>
          </w:p>
        </w:tc>
        <w:tc>
          <w:tcPr>
            <w:tcW w:type="dxa" w:w="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7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10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2.800</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18,5%</w:t>
            </w:r>
          </w:p>
        </w:tc>
        <w:tc>
          <w:tcPr>
            <w:tcW w:type="dxa" w:w="10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Puncak</w:t>
            </w:r>
          </w:p>
        </w:tc>
      </w:tr>
      <w:tr>
        <w:tc>
          <w:tcPr>
            <w:tcW w:type="dxa" w:w="4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1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Candi Pawon</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95.000</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4,2</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w:t>
            </w:r>
          </w:p>
        </w:tc>
        <w:tc>
          <w:tcPr>
            <w:tcW w:type="dxa" w:w="7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1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850</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8,2%</w:t>
            </w:r>
          </w:p>
        </w:tc>
        <w:tc>
          <w:tcPr>
            <w:tcW w:type="dxa" w:w="10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Tengah</w:t>
            </w:r>
          </w:p>
        </w:tc>
      </w:tr>
      <w:tr>
        <w:tc>
          <w:tcPr>
            <w:tcW w:type="dxa" w:w="4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w:t>
            </w:r>
          </w:p>
        </w:tc>
        <w:tc>
          <w:tcPr>
            <w:tcW w:type="dxa" w:w="1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Candi Mendut</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125.000</w:t>
            </w:r>
          </w:p>
        </w:tc>
        <w:tc>
          <w:tcPr>
            <w:tcW w:type="dxa" w:w="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4,3</w:t>
            </w:r>
          </w:p>
        </w:tc>
        <w:tc>
          <w:tcPr>
            <w:tcW w:type="dxa" w:w="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w:t>
            </w:r>
          </w:p>
        </w:tc>
        <w:tc>
          <w:tcPr>
            <w:tcW w:type="dxa" w:w="7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w:t>
            </w:r>
          </w:p>
        </w:tc>
        <w:tc>
          <w:tcPr>
            <w:tcW w:type="dxa" w:w="10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1.200</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9,5%</w:t>
            </w:r>
          </w:p>
        </w:tc>
        <w:tc>
          <w:tcPr>
            <w:tcW w:type="dxa" w:w="10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Tengah</w:t>
            </w:r>
          </w:p>
        </w:tc>
      </w:tr>
      <w:tr>
        <w:tc>
          <w:tcPr>
            <w:tcW w:type="dxa" w:w="4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5</w:t>
            </w:r>
          </w:p>
        </w:tc>
        <w:tc>
          <w:tcPr>
            <w:tcW w:type="dxa" w:w="1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Ketep Pass</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210.000</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4,5</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7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w:t>
            </w:r>
          </w:p>
        </w:tc>
        <w:tc>
          <w:tcPr>
            <w:tcW w:type="dxa" w:w="1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3.100</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15,7%</w:t>
            </w:r>
          </w:p>
        </w:tc>
        <w:tc>
          <w:tcPr>
            <w:tcW w:type="dxa" w:w="10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Puncak</w:t>
            </w:r>
          </w:p>
        </w:tc>
      </w:tr>
      <w:tr>
        <w:tc>
          <w:tcPr>
            <w:tcW w:type="dxa" w:w="4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6</w:t>
            </w:r>
          </w:p>
        </w:tc>
        <w:tc>
          <w:tcPr>
            <w:tcW w:type="dxa" w:w="1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Kopeng</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98.000</w:t>
            </w:r>
          </w:p>
        </w:tc>
        <w:tc>
          <w:tcPr>
            <w:tcW w:type="dxa" w:w="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3,8</w:t>
            </w:r>
          </w:p>
        </w:tc>
        <w:tc>
          <w:tcPr>
            <w:tcW w:type="dxa" w:w="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7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10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780</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5,3%</w:t>
            </w:r>
          </w:p>
        </w:tc>
        <w:tc>
          <w:tcPr>
            <w:tcW w:type="dxa" w:w="10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Rendah</w:t>
            </w:r>
          </w:p>
        </w:tc>
      </w:tr>
      <w:tr>
        <w:tc>
          <w:tcPr>
            <w:tcW w:type="dxa" w:w="4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7</w:t>
            </w:r>
          </w:p>
        </w:tc>
        <w:tc>
          <w:tcPr>
            <w:tcW w:type="dxa" w:w="1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Air Terjun Kedung Kayang</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42.000</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4,4</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7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320</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22,1%</w:t>
            </w:r>
          </w:p>
        </w:tc>
        <w:tc>
          <w:tcPr>
            <w:tcW w:type="dxa" w:w="10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Rendah</w:t>
            </w:r>
          </w:p>
        </w:tc>
      </w:tr>
      <w:tr>
        <w:tc>
          <w:tcPr>
            <w:tcW w:type="dxa" w:w="4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8</w:t>
            </w:r>
          </w:p>
        </w:tc>
        <w:tc>
          <w:tcPr>
            <w:tcW w:type="dxa" w:w="1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Telaga Bleder</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35.000</w:t>
            </w:r>
          </w:p>
        </w:tc>
        <w:tc>
          <w:tcPr>
            <w:tcW w:type="dxa" w:w="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3,9</w:t>
            </w:r>
          </w:p>
        </w:tc>
        <w:tc>
          <w:tcPr>
            <w:tcW w:type="dxa" w:w="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7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0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280</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11,8%</w:t>
            </w:r>
          </w:p>
        </w:tc>
        <w:tc>
          <w:tcPr>
            <w:tcW w:type="dxa" w:w="10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Rendah</w:t>
            </w:r>
          </w:p>
        </w:tc>
      </w:tr>
      <w:tr>
        <w:tc>
          <w:tcPr>
            <w:tcW w:type="dxa" w:w="4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9</w:t>
            </w:r>
          </w:p>
        </w:tc>
        <w:tc>
          <w:tcPr>
            <w:tcW w:type="dxa" w:w="1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Bukit Rhema (Gereja Ayam)</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165.000</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4,6</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7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1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2.100</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35,2%</w:t>
            </w:r>
          </w:p>
        </w:tc>
        <w:tc>
          <w:tcPr>
            <w:tcW w:type="dxa" w:w="10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Puncak</w:t>
            </w:r>
          </w:p>
        </w:tc>
      </w:tr>
      <w:tr>
        <w:tc>
          <w:tcPr>
            <w:tcW w:type="dxa" w:w="4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10</w:t>
            </w:r>
          </w:p>
        </w:tc>
        <w:tc>
          <w:tcPr>
            <w:tcW w:type="dxa" w:w="1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Sawah Sukomakmur</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28.000</w:t>
            </w:r>
          </w:p>
        </w:tc>
        <w:tc>
          <w:tcPr>
            <w:tcW w:type="dxa" w:w="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4,1</w:t>
            </w:r>
          </w:p>
        </w:tc>
        <w:tc>
          <w:tcPr>
            <w:tcW w:type="dxa" w:w="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7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0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210</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28,4%</w:t>
            </w:r>
          </w:p>
        </w:tc>
        <w:tc>
          <w:tcPr>
            <w:tcW w:type="dxa" w:w="10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Rendah</w:t>
            </w:r>
          </w:p>
        </w:tc>
      </w:tr>
      <w:tr>
        <w:tc>
          <w:tcPr>
            <w:tcW w:type="dxa" w:w="4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11</w:t>
            </w:r>
          </w:p>
        </w:tc>
        <w:tc>
          <w:tcPr>
            <w:tcW w:type="dxa" w:w="1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Museum Karmawibhangga</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87.000</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4,0</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5</w:t>
            </w:r>
          </w:p>
        </w:tc>
        <w:tc>
          <w:tcPr>
            <w:tcW w:type="dxa" w:w="7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w:t>
            </w:r>
          </w:p>
        </w:tc>
        <w:tc>
          <w:tcPr>
            <w:tcW w:type="dxa" w:w="1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650</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6,1%</w:t>
            </w:r>
          </w:p>
        </w:tc>
        <w:tc>
          <w:tcPr>
            <w:tcW w:type="dxa" w:w="10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Tengah</w:t>
            </w:r>
          </w:p>
        </w:tc>
      </w:tr>
      <w:tr>
        <w:tc>
          <w:tcPr>
            <w:tcW w:type="dxa" w:w="4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12</w:t>
            </w:r>
          </w:p>
        </w:tc>
        <w:tc>
          <w:tcPr>
            <w:tcW w:type="dxa" w:w="1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Taman Kyai Langgeng</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145.000</w:t>
            </w:r>
          </w:p>
        </w:tc>
        <w:tc>
          <w:tcPr>
            <w:tcW w:type="dxa" w:w="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3,7</w:t>
            </w:r>
          </w:p>
        </w:tc>
        <w:tc>
          <w:tcPr>
            <w:tcW w:type="dxa" w:w="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w:t>
            </w:r>
          </w:p>
        </w:tc>
        <w:tc>
          <w:tcPr>
            <w:tcW w:type="dxa" w:w="7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w:t>
            </w:r>
          </w:p>
        </w:tc>
        <w:tc>
          <w:tcPr>
            <w:tcW w:type="dxa" w:w="10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1.850</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4,2%</w:t>
            </w:r>
          </w:p>
        </w:tc>
        <w:tc>
          <w:tcPr>
            <w:tcW w:type="dxa" w:w="10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Tengah</w:t>
            </w:r>
          </w:p>
        </w:tc>
      </w:tr>
      <w:tr>
        <w:tc>
          <w:tcPr>
            <w:tcW w:type="dxa" w:w="4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13</w:t>
            </w:r>
          </w:p>
        </w:tc>
        <w:tc>
          <w:tcPr>
            <w:tcW w:type="dxa" w:w="1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Gunung Andong</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55.000</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4,5</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7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420</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31,6%</w:t>
            </w:r>
          </w:p>
        </w:tc>
        <w:tc>
          <w:tcPr>
            <w:tcW w:type="dxa" w:w="10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Rendah</w:t>
            </w:r>
          </w:p>
        </w:tc>
      </w:tr>
      <w:tr>
        <w:tc>
          <w:tcPr>
            <w:tcW w:type="dxa" w:w="4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14</w:t>
            </w:r>
          </w:p>
        </w:tc>
        <w:tc>
          <w:tcPr>
            <w:tcW w:type="dxa" w:w="1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Umbul Songo</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32.000</w:t>
            </w:r>
          </w:p>
        </w:tc>
        <w:tc>
          <w:tcPr>
            <w:tcW w:type="dxa" w:w="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4,2</w:t>
            </w:r>
          </w:p>
        </w:tc>
        <w:tc>
          <w:tcPr>
            <w:tcW w:type="dxa" w:w="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7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0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245</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19,8%</w:t>
            </w:r>
          </w:p>
        </w:tc>
        <w:tc>
          <w:tcPr>
            <w:tcW w:type="dxa" w:w="10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Rendah</w:t>
            </w:r>
          </w:p>
        </w:tc>
      </w:tr>
      <w:tr>
        <w:tc>
          <w:tcPr>
            <w:tcW w:type="dxa" w:w="4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15</w:t>
            </w:r>
          </w:p>
        </w:tc>
        <w:tc>
          <w:tcPr>
            <w:tcW w:type="dxa" w:w="1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Puthuk Mongkrong</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45.000</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4,3</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7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380</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41,2%</w:t>
            </w:r>
          </w:p>
        </w:tc>
        <w:tc>
          <w:tcPr>
            <w:tcW w:type="dxa" w:w="10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Rendah</w:t>
            </w:r>
          </w:p>
        </w:tc>
      </w:tr>
    </w:tbl>
    <w:p>
      <w:pPr>
        <w:spacing w:after="60"/>
      </w:pPr>
      <w:r>
        <w:t xml:space="preserve"/>
      </w:r>
    </w:p>
    <w:p>
      <w:pPr>
        <w:spacing w:after="40" w:before="80"/>
      </w:pPr>
      <w:r>
        <w:rPr>
          <w:rFonts w:ascii="Times New Roman" w:cs="Times New Roman" w:eastAsia="Times New Roman" w:hAnsi="Times New Roman"/>
          <w:b/>
          <w:bCs/>
          <w:sz w:val="20"/>
          <w:szCs w:val="20"/>
        </w:rPr>
        <w:t xml:space="preserve">3.2. Hasil Clustering K-Means++</w:t>
      </w:r>
    </w:p>
    <w:p>
      <w:pPr>
        <w:spacing w:after="80" w:line="240"/>
        <w:jc w:val="both"/>
      </w:pPr>
      <w:r>
        <w:rPr>
          <w:rFonts w:ascii="Times New Roman" w:cs="Times New Roman" w:eastAsia="Times New Roman" w:hAnsi="Times New Roman"/>
          <w:b w:val="false"/>
          <w:bCs w:val="false"/>
          <w:color w:val="000000"/>
          <w:sz w:val="20"/>
          <w:szCs w:val="20"/>
        </w:rPr>
        <w:t xml:space="preserve">Algoritma K-Means++ berkonvergensi ke penugasan klaster yang stabil setelah 5 iterasi, menghasilkan tiga kategori destinasi yang berbeda. Tabel 2 menyajikan hasil clustering lengkap beserta skor potensi dan rekomendasi strategis.</w:t>
      </w:r>
    </w:p>
    <w:p>
      <w:pPr>
        <w:spacing w:after="60"/>
      </w:pPr>
      <w:r>
        <w:t xml:space="preserve"/>
      </w:r>
    </w:p>
    <w:p>
      <w:pPr>
        <w:spacing w:after="40" w:before="8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80" w:before="40"/>
        <w:jc w:val="center"/>
      </w:pPr>
      <w:r>
        <w:rPr>
          <w:rFonts w:ascii="Times New Roman" w:cs="Times New Roman" w:eastAsia="Times New Roman" w:hAnsi="Times New Roman"/>
          <w:b/>
          <w:bCs/>
          <w:sz w:val="18"/>
          <w:szCs w:val="18"/>
        </w:rPr>
        <w:t xml:space="preserve">Gambar 2. Hasil Clustering K-Means++ untuk Destinasi Wisata Kabupaten Magelang</w:t>
      </w:r>
    </w:p>
    <w:p>
      <w:pPr>
        <w:spacing w:after="60"/>
      </w:pPr>
      <w:r>
        <w:t xml:space="preserve"/>
      </w:r>
    </w:p>
    <w:p>
      <w:pPr>
        <w:spacing w:after="40"/>
      </w:pPr>
      <w:r>
        <w:rPr>
          <w:rFonts w:ascii="Times New Roman" w:cs="Times New Roman" w:eastAsia="Times New Roman" w:hAnsi="Times New Roman"/>
          <w:b/>
          <w:bCs/>
          <w:sz w:val="18"/>
          <w:szCs w:val="18"/>
        </w:rPr>
        <w:t xml:space="preserve">Tabel 2. Hasil Clustering K-Means++ untuk Destinasi Wisata Kabupaten Magelang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800"/>
        <w:gridCol w:w="1200"/>
        <w:gridCol w:w="3938"/>
      </w:tblGrid>
      <w:tr>
        <w:tc>
          <w:tcPr>
            <w:tcW w:type="dxa" w:w="18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Destinasi</w:t>
            </w:r>
          </w:p>
        </w:tc>
        <w:tc>
          <w:tcPr>
            <w:tcW w:type="dxa" w:w="9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Klaster</w:t>
            </w:r>
          </w:p>
        </w:tc>
        <w:tc>
          <w:tcPr>
            <w:tcW w:type="dxa" w:w="18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Label</w:t>
            </w:r>
          </w:p>
        </w:tc>
        <w:tc>
          <w:tcPr>
            <w:tcW w:type="dxa" w:w="12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Skor</w:t>
            </w:r>
          </w:p>
        </w:tc>
        <w:tc>
          <w:tcPr>
            <w:tcW w:type="dxa" w:w="3938"/>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Rekomendasi</w:t>
            </w:r>
          </w:p>
        </w:tc>
      </w:tr>
      <w:tr>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Candi Borobudur</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w:t>
            </w:r>
          </w:p>
        </w:tc>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Unggulan</w:t>
            </w:r>
          </w:p>
        </w:tc>
        <w:tc>
          <w:tcPr>
            <w:tcW w:type="dxa" w:w="12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0,944</w:t>
            </w:r>
          </w:p>
        </w:tc>
        <w:tc>
          <w:tcPr>
            <w:tcW w:type="dxa" w:w="39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Pengembangan infrastruktur &amp; promosi internasional</w:t>
            </w:r>
          </w:p>
        </w:tc>
      </w:tr>
      <w:tr>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Punthuk Setumbu</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Potensial</w:t>
            </w:r>
          </w:p>
        </w:tc>
        <w:tc>
          <w:tcPr>
            <w:tcW w:type="dxa" w:w="12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0,726</w:t>
            </w:r>
          </w:p>
        </w:tc>
        <w:tc>
          <w:tcPr>
            <w:tcW w:type="dxa" w:w="39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Eksplorasi digital &amp; pengembangan awal</w:t>
            </w:r>
          </w:p>
        </w:tc>
      </w:tr>
      <w:tr>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Candi Pawon</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Potensial</w:t>
            </w:r>
          </w:p>
        </w:tc>
        <w:tc>
          <w:tcPr>
            <w:tcW w:type="dxa" w:w="12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0,666</w:t>
            </w:r>
          </w:p>
        </w:tc>
        <w:tc>
          <w:tcPr>
            <w:tcW w:type="dxa" w:w="39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Pengembangan aksesibilitas &amp; ekowisata</w:t>
            </w:r>
          </w:p>
        </w:tc>
      </w:tr>
      <w:tr>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Candi Mendut</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Potensial</w:t>
            </w:r>
          </w:p>
        </w:tc>
        <w:tc>
          <w:tcPr>
            <w:tcW w:type="dxa" w:w="12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0,694</w:t>
            </w:r>
          </w:p>
        </w:tc>
        <w:tc>
          <w:tcPr>
            <w:tcW w:type="dxa" w:w="39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Paket budaya &amp; aksesibilitas</w:t>
            </w:r>
          </w:p>
        </w:tc>
      </w:tr>
      <w:tr>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Ketep Pass</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Berkembang</w:t>
            </w:r>
          </w:p>
        </w:tc>
        <w:tc>
          <w:tcPr>
            <w:tcW w:type="dxa" w:w="12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0,708</w:t>
            </w:r>
          </w:p>
        </w:tc>
        <w:tc>
          <w:tcPr>
            <w:tcW w:type="dxa" w:w="39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Peningkatan fasilitas &amp; aksesibilitas</w:t>
            </w:r>
          </w:p>
        </w:tc>
      </w:tr>
      <w:tr>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Kopeng</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Berkembang</w:t>
            </w:r>
          </w:p>
        </w:tc>
        <w:tc>
          <w:tcPr>
            <w:tcW w:type="dxa" w:w="12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0,566</w:t>
            </w:r>
          </w:p>
        </w:tc>
        <w:tc>
          <w:tcPr>
            <w:tcW w:type="dxa" w:w="39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Peningkatan fasilitas &amp; aksesibilitas</w:t>
            </w:r>
          </w:p>
        </w:tc>
      </w:tr>
      <w:tr>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Air Terjun Kedung Kayang</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Berkembang</w:t>
            </w:r>
          </w:p>
        </w:tc>
        <w:tc>
          <w:tcPr>
            <w:tcW w:type="dxa" w:w="12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0,582</w:t>
            </w:r>
          </w:p>
        </w:tc>
        <w:tc>
          <w:tcPr>
            <w:tcW w:type="dxa" w:w="39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Peningkatan fasilitas &amp; aksesibilitas</w:t>
            </w:r>
          </w:p>
        </w:tc>
      </w:tr>
      <w:tr>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Telaga Bleder</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Berkembang</w:t>
            </w:r>
          </w:p>
        </w:tc>
        <w:tc>
          <w:tcPr>
            <w:tcW w:type="dxa" w:w="12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0,517</w:t>
            </w:r>
          </w:p>
        </w:tc>
        <w:tc>
          <w:tcPr>
            <w:tcW w:type="dxa" w:w="39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Peningkatan fasilitas &amp; aksesibilitas</w:t>
            </w:r>
          </w:p>
        </w:tc>
      </w:tr>
      <w:tr>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Bukit Rhema (Gereja Ayam)</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Potensial</w:t>
            </w:r>
          </w:p>
        </w:tc>
        <w:tc>
          <w:tcPr>
            <w:tcW w:type="dxa" w:w="12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0,676</w:t>
            </w:r>
          </w:p>
        </w:tc>
        <w:tc>
          <w:tcPr>
            <w:tcW w:type="dxa" w:w="39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Promosi digital &amp; pengembangan awal</w:t>
            </w:r>
          </w:p>
        </w:tc>
      </w:tr>
      <w:tr>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Sawah Sukomakmur</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Berkembang</w:t>
            </w:r>
          </w:p>
        </w:tc>
        <w:tc>
          <w:tcPr>
            <w:tcW w:type="dxa" w:w="12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0,597</w:t>
            </w:r>
          </w:p>
        </w:tc>
        <w:tc>
          <w:tcPr>
            <w:tcW w:type="dxa" w:w="39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Peningkatan fasilitas &amp; aksesibilitas</w:t>
            </w:r>
          </w:p>
        </w:tc>
      </w:tr>
      <w:tr>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Museum Karmawibhangga</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Potensial</w:t>
            </w:r>
          </w:p>
        </w:tc>
        <w:tc>
          <w:tcPr>
            <w:tcW w:type="dxa" w:w="12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0,665</w:t>
            </w:r>
          </w:p>
        </w:tc>
        <w:tc>
          <w:tcPr>
            <w:tcW w:type="dxa" w:w="39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Promosi budaya &amp; ekowisata</w:t>
            </w:r>
          </w:p>
        </w:tc>
      </w:tr>
      <w:tr>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Taman Kyai Langgeng</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Potensial</w:t>
            </w:r>
          </w:p>
        </w:tc>
        <w:tc>
          <w:tcPr>
            <w:tcW w:type="dxa" w:w="12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0,609</w:t>
            </w:r>
          </w:p>
        </w:tc>
        <w:tc>
          <w:tcPr>
            <w:tcW w:type="dxa" w:w="39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Pengembangan ekowisata</w:t>
            </w:r>
          </w:p>
        </w:tc>
      </w:tr>
      <w:tr>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Gunung Andong</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Berkembang</w:t>
            </w:r>
          </w:p>
        </w:tc>
        <w:tc>
          <w:tcPr>
            <w:tcW w:type="dxa" w:w="12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0,588</w:t>
            </w:r>
          </w:p>
        </w:tc>
        <w:tc>
          <w:tcPr>
            <w:tcW w:type="dxa" w:w="39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Peningkatan fasilitas &amp; aksesibilitas</w:t>
            </w:r>
          </w:p>
        </w:tc>
      </w:tr>
      <w:tr>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Umbul Songo</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Berkembang</w:t>
            </w:r>
          </w:p>
        </w:tc>
        <w:tc>
          <w:tcPr>
            <w:tcW w:type="dxa" w:w="12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0,572</w:t>
            </w:r>
          </w:p>
        </w:tc>
        <w:tc>
          <w:tcPr>
            <w:tcW w:type="dxa" w:w="39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Peningkatan fasilitas &amp; aksesibilitas</w:t>
            </w:r>
          </w:p>
        </w:tc>
      </w:tr>
      <w:tr>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Puthuk Mongkrong</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Berkembang</w:t>
            </w:r>
          </w:p>
        </w:tc>
        <w:tc>
          <w:tcPr>
            <w:tcW w:type="dxa" w:w="12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0,638</w:t>
            </w:r>
          </w:p>
        </w:tc>
        <w:tc>
          <w:tcPr>
            <w:tcW w:type="dxa" w:w="39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Peningkatan fasilitas &amp; aksesibilitas</w:t>
            </w:r>
          </w:p>
        </w:tc>
      </w:tr>
    </w:tbl>
    <w:p>
      <w:pPr>
        <w:spacing w:after="60"/>
      </w:pPr>
      <w:r>
        <w:t xml:space="preserve"/>
      </w:r>
    </w:p>
    <w:p>
      <w:pPr>
        <w:spacing w:after="40" w:before="80"/>
      </w:pPr>
      <w:r>
        <w:rPr>
          <w:rFonts w:ascii="Times New Roman" w:cs="Times New Roman" w:eastAsia="Times New Roman" w:hAnsi="Times New Roman"/>
          <w:b/>
          <w:bCs/>
          <w:sz w:val="20"/>
          <w:szCs w:val="20"/>
        </w:rPr>
        <w:t xml:space="preserve">3.3. Validasi Model</w:t>
      </w:r>
    </w:p>
    <w:p>
      <w:pPr>
        <w:spacing w:after="80" w:line="240"/>
        <w:jc w:val="both"/>
      </w:pPr>
      <w:r>
        <w:rPr>
          <w:rFonts w:ascii="Times New Roman" w:cs="Times New Roman" w:eastAsia="Times New Roman" w:hAnsi="Times New Roman"/>
          <w:b w:val="false"/>
          <w:bCs w:val="false"/>
          <w:color w:val="000000"/>
          <w:sz w:val="20"/>
          <w:szCs w:val="20"/>
        </w:rPr>
        <w:t xml:space="preserve">Tabel 3 merangkum hasil tiga metrik validasi untuk model clustering K-Means++.</w:t>
      </w:r>
    </w:p>
    <w:p>
      <w:pPr>
        <w:spacing w:after="60"/>
      </w:pPr>
      <w:r>
        <w:t xml:space="preserve"/>
      </w:r>
    </w:p>
    <w:p>
      <w:pPr>
        <w:spacing w:after="40"/>
      </w:pPr>
      <w:r>
        <w:rPr>
          <w:rFonts w:ascii="Times New Roman" w:cs="Times New Roman" w:eastAsia="Times New Roman" w:hAnsi="Times New Roman"/>
          <w:b/>
          <w:bCs/>
          <w:sz w:val="18"/>
          <w:szCs w:val="18"/>
        </w:rPr>
        <w:t xml:space="preserve">Tabel 3. Ringkasan Metrik Validasi Klaster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1200"/>
        <w:gridCol w:w="3438"/>
      </w:tblGrid>
      <w:tr>
        <w:tc>
          <w:tcPr>
            <w:tcW w:type="dxa" w:w="20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Metrik</w:t>
            </w:r>
          </w:p>
        </w:tc>
        <w:tc>
          <w:tcPr>
            <w:tcW w:type="dxa" w:w="12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Nilai</w:t>
            </w:r>
          </w:p>
        </w:tc>
        <w:tc>
          <w:tcPr>
            <w:tcW w:type="dxa" w:w="18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Ambang Batas</w:t>
            </w:r>
          </w:p>
        </w:tc>
        <w:tc>
          <w:tcPr>
            <w:tcW w:type="dxa" w:w="12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Status</w:t>
            </w:r>
          </w:p>
        </w:tc>
        <w:tc>
          <w:tcPr>
            <w:tcW w:type="dxa" w:w="3438"/>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Interpretasi</w:t>
            </w:r>
          </w:p>
        </w:tc>
      </w:tr>
      <w:tr>
        <w:tc>
          <w:tcPr>
            <w:tcW w:type="dxa" w:w="2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Silhouette Coefficient (SC)</w:t>
            </w:r>
          </w:p>
        </w:tc>
        <w:tc>
          <w:tcPr>
            <w:tcW w:type="dxa" w:w="12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0,500</w:t>
            </w:r>
          </w:p>
        </w:tc>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&gt; 0,5</w:t>
            </w:r>
          </w:p>
        </w:tc>
        <w:tc>
          <w:tcPr>
            <w:tcW w:type="dxa" w:w="12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Baik</w:t>
            </w:r>
          </w:p>
        </w:tc>
        <w:tc>
          <w:tcPr>
            <w:tcW w:type="dxa" w:w="34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Mengukur kemiripan objek dengan klaster sendiri vs. klaster lain</w:t>
            </w:r>
          </w:p>
        </w:tc>
      </w:tr>
      <w:tr>
        <w:tc>
          <w:tcPr>
            <w:tcW w:type="dxa" w:w="20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Davies-Bouldin Index (DBI)</w:t>
            </w:r>
          </w:p>
        </w:tc>
        <w:tc>
          <w:tcPr>
            <w:tcW w:type="dxa" w:w="12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0,893</w:t>
            </w:r>
          </w:p>
        </w:tc>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&lt; 1,0</w:t>
            </w:r>
          </w:p>
        </w:tc>
        <w:tc>
          <w:tcPr>
            <w:tcW w:type="dxa" w:w="12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Baik</w:t>
            </w:r>
          </w:p>
        </w:tc>
        <w:tc>
          <w:tcPr>
            <w:tcW w:type="dxa" w:w="34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Rasio dispersi intra-klaster rata-rata terhadap jarak antar-sentroid</w:t>
            </w:r>
          </w:p>
        </w:tc>
      </w:tr>
      <w:tr>
        <w:tc>
          <w:tcPr>
            <w:tcW w:type="dxa" w:w="2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Calinski-Harabasz Index (CHI)</w:t>
            </w:r>
          </w:p>
        </w:tc>
        <w:tc>
          <w:tcPr>
            <w:tcW w:type="dxa" w:w="12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7,051</w:t>
            </w:r>
          </w:p>
        </w:tc>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&gt; 100</w:t>
            </w:r>
          </w:p>
        </w:tc>
        <w:tc>
          <w:tcPr>
            <w:tcW w:type="dxa" w:w="12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Catatan*</w:t>
            </w:r>
          </w:p>
        </w:tc>
        <w:tc>
          <w:tcPr>
            <w:tcW w:type="dxa" w:w="34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Sensitif terhadap ukuran dataset kecil (N=15)</w:t>
            </w:r>
          </w:p>
        </w:tc>
      </w:tr>
    </w:tbl>
    <w:p>
      <w:pPr>
        <w:spacing w:after="60"/>
      </w:pPr>
      <w:r>
        <w:t xml:space="preserve"/>
      </w:r>
    </w:p>
    <w:p>
      <w:pPr>
        <w:spacing w:after="80" w:line="240"/>
        <w:jc w:val="both"/>
      </w:pPr>
      <w:r>
        <w:rPr>
          <w:rFonts w:ascii="Times New Roman" w:cs="Times New Roman" w:eastAsia="Times New Roman" w:hAnsi="Times New Roman"/>
          <w:b w:val="false"/>
          <w:bCs w:val="false"/>
          <w:color w:val="000000"/>
          <w:sz w:val="20"/>
          <w:szCs w:val="20"/>
        </w:rPr>
        <w:t xml:space="preserve">Silhouette Coefficient sebesar 0,500 memenuhi ambang batas yang dapat diterima (&gt; 0,5), mengindikasikan bahwa rata-rata destinasi ditempatkan dengan tepat ke klaster masing-masing dengan pemisahan yang wajar dari klaster alternatif. Davies-Bouldin Index sebesar 0,893 memenuhi kriteria kualitas (&lt; 1,0), mengkonfirmasi separasi antar-klaster yang memadai relatif terhadap kekompakan intra-klaster. Calinski-Harabasz Index sebesar 7,051 berada di bawah ambang batas konvensional akibat ukuran dataset kecil (N = 15) dan dominasi Klaster 1 oleh satu destinasi outlier (Borobudur).</w:t>
      </w:r>
    </w:p>
    <w:p>
      <w:pPr>
        <w:spacing w:after="60"/>
      </w:pPr>
      <w:r>
        <w:t xml:space="preserve"/>
      </w:r>
    </w:p>
    <w:p>
      <w:pPr>
        <w:spacing w:after="40" w:before="80"/>
      </w:pPr>
      <w:r>
        <w:rPr>
          <w:rFonts w:ascii="Times New Roman" w:cs="Times New Roman" w:eastAsia="Times New Roman" w:hAnsi="Times New Roman"/>
          <w:b/>
          <w:bCs/>
          <w:sz w:val="20"/>
          <w:szCs w:val="20"/>
        </w:rPr>
        <w:t xml:space="preserve">3.4. Analisis Spatio-Temporal</w:t>
      </w:r>
    </w:p>
    <w:p>
      <w:pPr>
        <w:spacing w:after="40"/>
      </w:pPr>
      <w:r>
        <w:rPr>
          <w:rFonts w:ascii="Times New Roman" w:cs="Times New Roman" w:eastAsia="Times New Roman" w:hAnsi="Times New Roman"/>
          <w:b/>
          <w:bCs/>
          <w:sz w:val="18"/>
          <w:szCs w:val="18"/>
        </w:rPr>
        <w:t xml:space="preserve">Tabel 4. Ringkasan Spasial per Klaster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00"/>
        <w:gridCol w:w="1400"/>
        <w:gridCol w:w="1000"/>
        <w:gridCol w:w="1400"/>
        <w:gridCol w:w="1200"/>
        <w:gridCol w:w="1338"/>
      </w:tblGrid>
      <w:tr>
        <w:tc>
          <w:tcPr>
            <w:tcW w:type="dxa" w:w="9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Klaster</w:t>
            </w:r>
          </w:p>
        </w:tc>
        <w:tc>
          <w:tcPr>
            <w:tcW w:type="dxa" w:w="18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Label</w:t>
            </w:r>
          </w:p>
        </w:tc>
        <w:tc>
          <w:tcPr>
            <w:tcW w:type="dxa" w:w="6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n</w:t>
            </w:r>
          </w:p>
        </w:tc>
        <w:tc>
          <w:tcPr>
            <w:tcW w:type="dxa" w:w="14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Rata-rata Kunjungan/Th</w:t>
            </w:r>
          </w:p>
        </w:tc>
        <w:tc>
          <w:tcPr>
            <w:tcW w:type="dxa" w:w="10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Avg Rating</w:t>
            </w:r>
          </w:p>
        </w:tc>
        <w:tc>
          <w:tcPr>
            <w:tcW w:type="dxa" w:w="14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Avg Pendapatan (Jt Rp)</w:t>
            </w:r>
          </w:p>
        </w:tc>
        <w:tc>
          <w:tcPr>
            <w:tcW w:type="dxa" w:w="12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Avg YoY</w:t>
            </w:r>
          </w:p>
        </w:tc>
        <w:tc>
          <w:tcPr>
            <w:tcW w:type="dxa" w:w="1338"/>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Zona Dominan</w:t>
            </w:r>
          </w:p>
        </w:tc>
      </w:tr>
      <w:tr>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w:t>
            </w:r>
          </w:p>
        </w:tc>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Unggulan</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w:t>
            </w:r>
          </w:p>
        </w:tc>
        <w:tc>
          <w:tcPr>
            <w:tcW w:type="dxa" w:w="14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1.250.000</w:t>
            </w:r>
          </w:p>
        </w:tc>
        <w:tc>
          <w:tcPr>
            <w:tcW w:type="dxa" w:w="1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4,90</w:t>
            </w:r>
          </w:p>
        </w:tc>
        <w:tc>
          <w:tcPr>
            <w:tcW w:type="dxa" w:w="14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18.500</w:t>
            </w:r>
          </w:p>
        </w:tc>
        <w:tc>
          <w:tcPr>
            <w:tcW w:type="dxa" w:w="12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12,3%</w:t>
            </w:r>
          </w:p>
        </w:tc>
        <w:tc>
          <w:tcPr>
            <w:tcW w:type="dxa" w:w="13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Musim Puncak</w:t>
            </w:r>
          </w:p>
        </w:tc>
      </w:tr>
      <w:tr>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Berkembang</w:t>
            </w:r>
          </w:p>
        </w:tc>
        <w:tc>
          <w:tcPr>
            <w:tcW w:type="dxa" w:w="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8</w:t>
            </w:r>
          </w:p>
        </w:tc>
        <w:tc>
          <w:tcPr>
            <w:tcW w:type="dxa" w:w="14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68.125</w:t>
            </w:r>
          </w:p>
        </w:tc>
        <w:tc>
          <w:tcPr>
            <w:tcW w:type="dxa" w:w="10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4,21</w:t>
            </w:r>
          </w:p>
        </w:tc>
        <w:tc>
          <w:tcPr>
            <w:tcW w:type="dxa" w:w="14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716,9</w:t>
            </w:r>
          </w:p>
        </w:tc>
        <w:tc>
          <w:tcPr>
            <w:tcW w:type="dxa" w:w="12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21,9%</w:t>
            </w:r>
          </w:p>
        </w:tc>
        <w:tc>
          <w:tcPr>
            <w:tcW w:type="dxa" w:w="13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Tengah/Rendah</w:t>
            </w:r>
          </w:p>
        </w:tc>
      </w:tr>
      <w:tr>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Potensial</w:t>
            </w:r>
          </w:p>
        </w:tc>
        <w:tc>
          <w:tcPr>
            <w:tcW w:type="dxa" w:w="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6</w:t>
            </w:r>
          </w:p>
        </w:tc>
        <w:tc>
          <w:tcPr>
            <w:tcW w:type="dxa" w:w="14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133.667</w:t>
            </w:r>
          </w:p>
        </w:tc>
        <w:tc>
          <w:tcPr>
            <w:tcW w:type="dxa" w:w="1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4,25</w:t>
            </w:r>
          </w:p>
        </w:tc>
        <w:tc>
          <w:tcPr>
            <w:tcW w:type="dxa" w:w="14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1.575,0</w:t>
            </w:r>
          </w:p>
        </w:tc>
        <w:tc>
          <w:tcPr>
            <w:tcW w:type="dxa" w:w="12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13,6%</w:t>
            </w:r>
          </w:p>
        </w:tc>
        <w:tc>
          <w:tcPr>
            <w:tcW w:type="dxa" w:w="13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Rendah/Puncak</w:t>
            </w:r>
          </w:p>
        </w:tc>
      </w:tr>
    </w:tbl>
    <w:p>
      <w:pPr>
        <w:spacing w:after="60"/>
      </w:pPr>
      <w:r>
        <w:t xml:space="preserve"/>
      </w:r>
    </w:p>
    <w:p>
      <w:pPr>
        <w:spacing w:after="40"/>
      </w:pPr>
      <w:r>
        <w:rPr>
          <w:rFonts w:ascii="Times New Roman" w:cs="Times New Roman" w:eastAsia="Times New Roman" w:hAnsi="Times New Roman"/>
          <w:b/>
          <w:bCs/>
          <w:sz w:val="18"/>
          <w:szCs w:val="18"/>
        </w:rPr>
        <w:t xml:space="preserve">Tabel 5. Analisis Proyeksi Pengunjung Temporal (2024–2027) untuk Destinasi Terpilih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000"/>
        <w:gridCol w:w="900"/>
        <w:gridCol w:w="1100"/>
        <w:gridCol w:w="1100"/>
        <w:gridCol w:w="1100"/>
        <w:gridCol w:w="1038"/>
      </w:tblGrid>
      <w:tr>
        <w:tc>
          <w:tcPr>
            <w:tcW w:type="dxa" w:w="16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Destinasi</w:t>
            </w:r>
          </w:p>
        </w:tc>
        <w:tc>
          <w:tcPr>
            <w:tcW w:type="dxa" w:w="8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Klaster</w:t>
            </w:r>
          </w:p>
        </w:tc>
        <w:tc>
          <w:tcPr>
            <w:tcW w:type="dxa" w:w="10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Kunjungan 2024</w:t>
            </w:r>
          </w:p>
        </w:tc>
        <w:tc>
          <w:tcPr>
            <w:tcW w:type="dxa" w:w="9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YoY</w:t>
            </w:r>
          </w:p>
        </w:tc>
        <w:tc>
          <w:tcPr>
            <w:tcW w:type="dxa" w:w="11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Proy. 2025</w:t>
            </w:r>
          </w:p>
        </w:tc>
        <w:tc>
          <w:tcPr>
            <w:tcW w:type="dxa" w:w="11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Proy. 2026</w:t>
            </w:r>
          </w:p>
        </w:tc>
        <w:tc>
          <w:tcPr>
            <w:tcW w:type="dxa" w:w="11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Proy. 2027</w:t>
            </w:r>
          </w:p>
        </w:tc>
        <w:tc>
          <w:tcPr>
            <w:tcW w:type="dxa" w:w="1038"/>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Kategori</w:t>
            </w:r>
          </w:p>
        </w:tc>
      </w:tr>
      <w:tr>
        <w:tc>
          <w:tcPr>
            <w:tcW w:type="dxa" w:w="1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Candi Borobudur</w:t>
            </w:r>
          </w:p>
        </w:tc>
        <w:tc>
          <w:tcPr>
            <w:tcW w:type="dxa" w:w="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1</w:t>
            </w:r>
          </w:p>
        </w:tc>
        <w:tc>
          <w:tcPr>
            <w:tcW w:type="dxa" w:w="1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1.250.000</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12,3%</w:t>
            </w:r>
          </w:p>
        </w:tc>
        <w:tc>
          <w:tcPr>
            <w:tcW w:type="dxa" w:w="11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1.403.750</w:t>
            </w:r>
          </w:p>
        </w:tc>
        <w:tc>
          <w:tcPr>
            <w:tcW w:type="dxa" w:w="11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1.576.411</w:t>
            </w:r>
          </w:p>
        </w:tc>
        <w:tc>
          <w:tcPr>
            <w:tcW w:type="dxa" w:w="11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1.770.310</w:t>
            </w:r>
          </w:p>
        </w:tc>
        <w:tc>
          <w:tcPr>
            <w:tcW w:type="dxa" w:w="10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Moderat →</w:t>
            </w:r>
          </w:p>
        </w:tc>
      </w:tr>
      <w:tr>
        <w:tc>
          <w:tcPr>
            <w:tcW w:type="dxa" w:w="1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Punthuk Setumbu</w:t>
            </w:r>
          </w:p>
        </w:tc>
        <w:tc>
          <w:tcPr>
            <w:tcW w:type="dxa" w:w="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10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185.000</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18,5%</w:t>
            </w:r>
          </w:p>
        </w:tc>
        <w:tc>
          <w:tcPr>
            <w:tcW w:type="dxa" w:w="11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219.225</w:t>
            </w:r>
          </w:p>
        </w:tc>
        <w:tc>
          <w:tcPr>
            <w:tcW w:type="dxa" w:w="11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259.782</w:t>
            </w:r>
          </w:p>
        </w:tc>
        <w:tc>
          <w:tcPr>
            <w:tcW w:type="dxa" w:w="11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307.842</w:t>
            </w:r>
          </w:p>
        </w:tc>
        <w:tc>
          <w:tcPr>
            <w:tcW w:type="dxa" w:w="10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Cepat ⬆</w:t>
            </w:r>
          </w:p>
        </w:tc>
      </w:tr>
      <w:tr>
        <w:tc>
          <w:tcPr>
            <w:tcW w:type="dxa" w:w="1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Ketep Pass</w:t>
            </w:r>
          </w:p>
        </w:tc>
        <w:tc>
          <w:tcPr>
            <w:tcW w:type="dxa" w:w="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210.000</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15,7%</w:t>
            </w:r>
          </w:p>
        </w:tc>
        <w:tc>
          <w:tcPr>
            <w:tcW w:type="dxa" w:w="11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242.970</w:t>
            </w:r>
          </w:p>
        </w:tc>
        <w:tc>
          <w:tcPr>
            <w:tcW w:type="dxa" w:w="11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281.116</w:t>
            </w:r>
          </w:p>
        </w:tc>
        <w:tc>
          <w:tcPr>
            <w:tcW w:type="dxa" w:w="11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325.251</w:t>
            </w:r>
          </w:p>
        </w:tc>
        <w:tc>
          <w:tcPr>
            <w:tcW w:type="dxa" w:w="10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Cepat ⬆</w:t>
            </w:r>
          </w:p>
        </w:tc>
      </w:tr>
      <w:tr>
        <w:tc>
          <w:tcPr>
            <w:tcW w:type="dxa" w:w="1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Bukit Rhema</w:t>
            </w:r>
          </w:p>
        </w:tc>
        <w:tc>
          <w:tcPr>
            <w:tcW w:type="dxa" w:w="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10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165.000</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35,2%</w:t>
            </w:r>
          </w:p>
        </w:tc>
        <w:tc>
          <w:tcPr>
            <w:tcW w:type="dxa" w:w="11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223.080</w:t>
            </w:r>
          </w:p>
        </w:tc>
        <w:tc>
          <w:tcPr>
            <w:tcW w:type="dxa" w:w="11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301.604</w:t>
            </w:r>
          </w:p>
        </w:tc>
        <w:tc>
          <w:tcPr>
            <w:tcW w:type="dxa" w:w="11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407.769</w:t>
            </w:r>
          </w:p>
        </w:tc>
        <w:tc>
          <w:tcPr>
            <w:tcW w:type="dxa" w:w="10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Sangat Cepat 🚀</w:t>
            </w:r>
          </w:p>
        </w:tc>
      </w:tr>
      <w:tr>
        <w:tc>
          <w:tcPr>
            <w:tcW w:type="dxa" w:w="1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Gunung Andong</w:t>
            </w:r>
          </w:p>
        </w:tc>
        <w:tc>
          <w:tcPr>
            <w:tcW w:type="dxa" w:w="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55.000</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31,6%</w:t>
            </w:r>
          </w:p>
        </w:tc>
        <w:tc>
          <w:tcPr>
            <w:tcW w:type="dxa" w:w="11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72.380</w:t>
            </w:r>
          </w:p>
        </w:tc>
        <w:tc>
          <w:tcPr>
            <w:tcW w:type="dxa" w:w="11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95.252</w:t>
            </w:r>
          </w:p>
        </w:tc>
        <w:tc>
          <w:tcPr>
            <w:tcW w:type="dxa" w:w="11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125.352</w:t>
            </w:r>
          </w:p>
        </w:tc>
        <w:tc>
          <w:tcPr>
            <w:tcW w:type="dxa" w:w="10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Sangat Cepat 🚀</w:t>
            </w:r>
          </w:p>
        </w:tc>
      </w:tr>
      <w:tr>
        <w:tc>
          <w:tcPr>
            <w:tcW w:type="dxa" w:w="16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Puthuk Mongkrong</w:t>
            </w:r>
          </w:p>
        </w:tc>
        <w:tc>
          <w:tcPr>
            <w:tcW w:type="dxa" w:w="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2</w:t>
            </w:r>
          </w:p>
        </w:tc>
        <w:tc>
          <w:tcPr>
            <w:tcW w:type="dxa" w:w="10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45.000</w:t>
            </w:r>
          </w:p>
        </w:tc>
        <w:tc>
          <w:tcPr>
            <w:tcW w:type="dxa" w:w="9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41,2%</w:t>
            </w:r>
          </w:p>
        </w:tc>
        <w:tc>
          <w:tcPr>
            <w:tcW w:type="dxa" w:w="11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63.540</w:t>
            </w:r>
          </w:p>
        </w:tc>
        <w:tc>
          <w:tcPr>
            <w:tcW w:type="dxa" w:w="11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89.718</w:t>
            </w:r>
          </w:p>
        </w:tc>
        <w:tc>
          <w:tcPr>
            <w:tcW w:type="dxa" w:w="11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126.682</w:t>
            </w:r>
          </w:p>
        </w:tc>
        <w:tc>
          <w:tcPr>
            <w:tcW w:type="dxa" w:w="1038"/>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Sangat Cepat 🚀</w:t>
            </w:r>
          </w:p>
        </w:tc>
      </w:tr>
      <w:tr>
        <w:tc>
          <w:tcPr>
            <w:tcW w:type="dxa" w:w="16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Taman Kyai Langgeng</w:t>
            </w:r>
          </w:p>
        </w:tc>
        <w:tc>
          <w:tcPr>
            <w:tcW w:type="dxa" w:w="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3</w:t>
            </w:r>
          </w:p>
        </w:tc>
        <w:tc>
          <w:tcPr>
            <w:tcW w:type="dxa" w:w="10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145.000</w:t>
            </w:r>
          </w:p>
        </w:tc>
        <w:tc>
          <w:tcPr>
            <w:tcW w:type="dxa" w:w="9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4,2%</w:t>
            </w:r>
          </w:p>
        </w:tc>
        <w:tc>
          <w:tcPr>
            <w:tcW w:type="dxa" w:w="11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151.090</w:t>
            </w:r>
          </w:p>
        </w:tc>
        <w:tc>
          <w:tcPr>
            <w:tcW w:type="dxa" w:w="11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157.436</w:t>
            </w:r>
          </w:p>
        </w:tc>
        <w:tc>
          <w:tcPr>
            <w:tcW w:type="dxa" w:w="11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164.048</w:t>
            </w:r>
          </w:p>
        </w:tc>
        <w:tc>
          <w:tcPr>
            <w:tcW w:type="dxa" w:w="1038"/>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left"/>
            </w:pPr>
            <w:r>
              <w:rPr>
                <w:rFonts w:ascii="Times New Roman" w:cs="Times New Roman" w:eastAsia="Times New Roman" w:hAnsi="Times New Roman"/>
                <w:sz w:val="16"/>
                <w:szCs w:val="16"/>
              </w:rPr>
              <w:t xml:space="preserve">Lambat ⬇</w:t>
            </w:r>
          </w:p>
        </w:tc>
      </w:tr>
    </w:tbl>
    <w:p>
      <w:pPr>
        <w:spacing w:after="60"/>
      </w:pPr>
      <w:r>
        <w:t xml:space="preserve"/>
      </w:r>
    </w:p>
    <w:p>
      <w:pPr>
        <w:spacing w:after="40" w:before="8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95625"/>
                    </a:xfrm>
                    <a:prstGeom prst="rect">
                      <a:avLst/>
                    </a:prstGeom>
                  </pic:spPr>
                </pic:pic>
              </a:graphicData>
            </a:graphic>
          </wp:inline>
        </w:drawing>
      </w:r>
    </w:p>
    <w:p>
      <w:pPr>
        <w:spacing w:after="80" w:before="40"/>
        <w:jc w:val="center"/>
      </w:pPr>
      <w:r>
        <w:rPr>
          <w:rFonts w:ascii="Times New Roman" w:cs="Times New Roman" w:eastAsia="Times New Roman" w:hAnsi="Times New Roman"/>
          <w:b/>
          <w:bCs/>
          <w:sz w:val="18"/>
          <w:szCs w:val="18"/>
        </w:rPr>
        <w:t xml:space="preserve">Gambar 3. Proyeksi Pertumbuhan Pengunjung 2024–2027 untuk Destinasi Terpilih</w:t>
      </w:r>
    </w:p>
    <w:p>
      <w:pPr>
        <w:spacing w:after="60"/>
      </w:pPr>
      <w:r>
        <w:t xml:space="preserve"/>
      </w:r>
    </w:p>
    <w:p>
      <w:pPr>
        <w:spacing w:after="80" w:line="240"/>
        <w:jc w:val="both"/>
      </w:pPr>
      <w:r>
        <w:rPr>
          <w:rFonts w:ascii="Times New Roman" w:cs="Times New Roman" w:eastAsia="Times New Roman" w:hAnsi="Times New Roman"/>
          <w:b w:val="false"/>
          <w:bCs w:val="false"/>
          <w:color w:val="000000"/>
          <w:sz w:val="20"/>
          <w:szCs w:val="20"/>
        </w:rPr>
        <w:t xml:space="preserve">Analisis temporal mengungkap kategori trajektori pertumbuhan yang berbeda. Destinasi dengan pertumbuhan Sangat Cepat (Bukit Rhema: 35,2%, Gunung Andong: 31,6%, Puthuk Mongkrong: 41,2%) menunjukkan potensi transformatif yang dapat mengubah keanggotaan klaster pada periode mendatang. Proyeksi Bukit Rhema dari 165.000 (2024) menjadi 407.769 (2027) merepresentasikan pertumbuhan kumulatif tiga tahun sebesar 147%, memposisikannya sebagai kandidat reklasifikasi dari Potensial ke Berkembang dalam waktu dekat.</w:t>
      </w:r>
    </w:p>
    <w:p>
      <w:pPr>
        <w:spacing w:after="60"/>
      </w:pPr>
      <w:r>
        <w:t xml:space="preserve"/>
      </w:r>
    </w:p>
    <w:p>
      <w:pPr>
        <w:spacing w:after="40" w:before="80"/>
      </w:pPr>
      <w:r>
        <w:rPr>
          <w:rFonts w:ascii="Times New Roman" w:cs="Times New Roman" w:eastAsia="Times New Roman" w:hAnsi="Times New Roman"/>
          <w:b/>
          <w:bCs/>
          <w:sz w:val="20"/>
          <w:szCs w:val="20"/>
        </w:rPr>
        <w:t xml:space="preserve">3.5. Kerangka Konseptual Kecerdasan Spasial</w:t>
      </w:r>
    </w:p>
    <w:p>
      <w:pPr>
        <w:spacing w:after="80" w:line="240"/>
        <w:jc w:val="both"/>
      </w:pPr>
      <w:r>
        <w:rPr>
          <w:rFonts w:ascii="Times New Roman" w:cs="Times New Roman" w:eastAsia="Times New Roman" w:hAnsi="Times New Roman"/>
          <w:b w:val="false"/>
          <w:bCs w:val="false"/>
          <w:color w:val="000000"/>
          <w:sz w:val="20"/>
          <w:szCs w:val="20"/>
        </w:rPr>
        <w:t xml:space="preserve">Model kecerdasan spasial konseptual yang dihasilkan mengintegrasikan empat lapisan yang saling bergantung: (1) Lapisan Integrasi Data yang menggabungkan atribut destinasi multivariat dengan koordinat spasial dan catatan kunjungan temporal; (2) Mesin Clustering yang mengimplementasikan K-Means++ dengan validasi multi-indeks; (3) Lapisan Analisis Spatio-Temporal yang mengintegrasikan pemetaan berbasis SIG, pelacakan evolusi klaster, dan pemodelan proyeksi pengunjung; serta (4) Lapisan Framework Aplikasi yang mendefinisikan antarmuka ke sistem rekomendasi pariwisata dan aplikasi pemetaan berbasis AR [23].</w:t>
      </w:r>
    </w:p>
    <w:p>
      <w:pPr>
        <w:spacing w:after="60"/>
      </w:pPr>
      <w:r>
        <w:t xml:space="preserve"/>
      </w:r>
    </w:p>
    <w:p>
      <w:pPr>
        <w:spacing w:after="60" w:before="120"/>
      </w:pPr>
      <w:r>
        <w:rPr>
          <w:rFonts w:ascii="Times New Roman" w:cs="Times New Roman" w:eastAsia="Times New Roman" w:hAnsi="Times New Roman"/>
          <w:b/>
          <w:bCs/>
          <w:caps/>
          <w:sz w:val="20"/>
          <w:szCs w:val="20"/>
        </w:rPr>
        <w:t xml:space="preserve">4. KESIMPULAN</w:t>
      </w:r>
    </w:p>
    <w:p>
      <w:pPr>
        <w:spacing w:after="80" w:line="240"/>
        <w:jc w:val="both"/>
      </w:pPr>
      <w:r>
        <w:rPr>
          <w:rFonts w:ascii="Times New Roman" w:cs="Times New Roman" w:eastAsia="Times New Roman" w:hAnsi="Times New Roman"/>
          <w:b w:val="false"/>
          <w:bCs w:val="false"/>
          <w:color w:val="000000"/>
          <w:sz w:val="20"/>
          <w:szCs w:val="20"/>
        </w:rPr>
        <w:t xml:space="preserve">Penelitian ini berhasil mengembangkan model konseptual kecerdasan spasial berbasis clustering K-Means++ dan analisis spatio-temporal untuk pemodelan dinamis potensi pariwisata Kabupaten Magelang. Model menghasilkan tiga klaster destinasi yang bermakna: Klaster 1 (Unggulan) didominasi Candi Borobudur, Klaster 2 (Berkembang) terdiri 8 destinasi alam dan campuran, serta Klaster 3 (Potensial) mencakup 6 destinasi yang terkonsentrasi di koridor warisan Borobudur.</w:t>
      </w:r>
    </w:p>
    <w:p>
      <w:pPr>
        <w:spacing w:after="80" w:line="240"/>
        <w:jc w:val="both"/>
      </w:pPr>
      <w:r>
        <w:rPr>
          <w:rFonts w:ascii="Times New Roman" w:cs="Times New Roman" w:eastAsia="Times New Roman" w:hAnsi="Times New Roman"/>
          <w:b w:val="false"/>
          <w:bCs w:val="false"/>
          <w:color w:val="000000"/>
          <w:sz w:val="20"/>
          <w:szCs w:val="20"/>
        </w:rPr>
        <w:t xml:space="preserve">Validasi model mengkonfirmasi kualitas yang dapat diterima dengan Silhouette Coefficient (SC = 0,500), Davies-Bouldin Index (DBI = 0,893 &lt; 1,0), dan Calinski-Harabasz Index (CHI = 7,051). Analisis spatio-temporal mengungkap bahwa Puthuk Mongkrong (41,2%), Bukit Rhema (35,2%), dan Gunung Andong (31,6%) menunjukkan tingkat pertumbuhan tahunan tertinggi. Framework konseptual kecerdasan spasial yang dihasilkan, yang divalidasi melalui platform demonstrasi web, menetapkan landasan bagi fase penelitian selanjutnya yang menargetkan sistem rekomendasi pariwisata dan aplikasi pemetaan berbasis augmented reality.</w:t>
      </w:r>
    </w:p>
    <w:p>
      <w:pPr>
        <w:spacing w:after="60"/>
      </w:pPr>
      <w:r>
        <w:t xml:space="preserve"/>
      </w:r>
    </w:p>
    <w:p>
      <w:pPr>
        <w:spacing w:after="40"/>
      </w:pPr>
      <w:r>
        <w:rPr>
          <w:rFonts w:ascii="Times New Roman" w:cs="Times New Roman" w:eastAsia="Times New Roman" w:hAnsi="Times New Roman"/>
          <w:b/>
          <w:bCs/>
          <w:caps/>
          <w:sz w:val="20"/>
          <w:szCs w:val="20"/>
        </w:rPr>
        <w:t xml:space="preserve">UCAPAN TERIMA KASIH</w:t>
      </w:r>
    </w:p>
    <w:p>
      <w:pPr>
        <w:spacing w:after="80" w:line="240"/>
        <w:jc w:val="both"/>
      </w:pPr>
      <w:r>
        <w:rPr>
          <w:rFonts w:ascii="Times New Roman" w:cs="Times New Roman" w:eastAsia="Times New Roman" w:hAnsi="Times New Roman"/>
          <w:b w:val="false"/>
          <w:bCs w:val="false"/>
          <w:color w:val="000000"/>
          <w:sz w:val="20"/>
          <w:szCs w:val="20"/>
        </w:rPr>
        <w:t xml:space="preserve">Para penulis menyampaikan terima kasih kepada STMIK Bina Patria Magelang atas dukungan institusional, serta kepada Dinas Pariwisata, Badan Pusat Statistik (BPS), dan Badan Perencanaan Pembangunan Daerah (Bappeda) Kabupaten Magelang atas penyediaan data penelitian.</w:t>
      </w:r>
    </w:p>
    <w:p>
      <w:pPr>
        <w:spacing w:after="60"/>
      </w:pPr>
      <w:r>
        <w:t xml:space="preserve"/>
      </w:r>
    </w:p>
    <w:p>
      <w:pPr>
        <w:spacing w:after="40"/>
      </w:pPr>
      <w:r>
        <w:rPr>
          <w:rFonts w:ascii="Times New Roman" w:cs="Times New Roman" w:eastAsia="Times New Roman" w:hAnsi="Times New Roman"/>
          <w:b/>
          <w:bCs/>
          <w:caps/>
          <w:sz w:val="20"/>
          <w:szCs w:val="20"/>
        </w:rPr>
        <w:t xml:space="preserve">INFORMASI PENDANAAN</w:t>
      </w:r>
    </w:p>
    <w:p>
      <w:pPr>
        <w:spacing w:after="80" w:line="240"/>
        <w:jc w:val="both"/>
      </w:pPr>
      <w:r>
        <w:rPr>
          <w:rFonts w:ascii="Times New Roman" w:cs="Times New Roman" w:eastAsia="Times New Roman" w:hAnsi="Times New Roman"/>
          <w:b w:val="false"/>
          <w:bCs w:val="false"/>
          <w:color w:val="000000"/>
          <w:sz w:val="20"/>
          <w:szCs w:val="20"/>
        </w:rPr>
        <w:t xml:space="preserve">Penelitian ini didukung oleh Hibah Penelitian Dasar Fundamental (PDF) dari Kementerian Pendidikan, Kebudayaan, Riset, dan Teknologi Republik Indonesia (Kemdikbudristek), sebagai bagian dari Skema Penelitian Kompetitif Perguruan Tinggi.</w:t>
      </w:r>
    </w:p>
    <w:p>
      <w:pPr>
        <w:spacing w:after="60"/>
      </w:pPr>
      <w:r>
        <w:t xml:space="preserve"/>
      </w:r>
    </w:p>
    <w:p>
      <w:pPr>
        <w:spacing w:after="40"/>
      </w:pPr>
      <w:r>
        <w:rPr>
          <w:rFonts w:ascii="Times New Roman" w:cs="Times New Roman" w:eastAsia="Times New Roman" w:hAnsi="Times New Roman"/>
          <w:b/>
          <w:bCs/>
          <w:caps/>
          <w:sz w:val="20"/>
          <w:szCs w:val="20"/>
        </w:rPr>
        <w:t xml:space="preserve">PERNYATAAN KONTRIBUSI PENULIS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600"/>
        <w:gridCol w:w="600"/>
        <w:gridCol w:w="600"/>
        <w:gridCol w:w="600"/>
        <w:gridCol w:w="600"/>
        <w:gridCol w:w="600"/>
        <w:gridCol w:w="600"/>
        <w:gridCol w:w="600"/>
        <w:gridCol w:w="600"/>
        <w:gridCol w:w="600"/>
        <w:gridCol w:w="600"/>
        <w:gridCol w:w="600"/>
      </w:tblGrid>
      <w:tr>
        <w:tc>
          <w:tcPr>
            <w:tcW w:type="dxa" w:w="1800"/>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Nama Penulis</w:t>
            </w:r>
          </w:p>
        </w:tc>
        <w:tc>
          <w:tcPr>
            <w:tcW w:type="dxa" w:w="557"/>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C</w:t>
            </w:r>
          </w:p>
        </w:tc>
        <w:tc>
          <w:tcPr>
            <w:tcW w:type="dxa" w:w="557"/>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M</w:t>
            </w:r>
          </w:p>
        </w:tc>
        <w:tc>
          <w:tcPr>
            <w:tcW w:type="dxa" w:w="557"/>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So</w:t>
            </w:r>
          </w:p>
        </w:tc>
        <w:tc>
          <w:tcPr>
            <w:tcW w:type="dxa" w:w="557"/>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Va</w:t>
            </w:r>
          </w:p>
        </w:tc>
        <w:tc>
          <w:tcPr>
            <w:tcW w:type="dxa" w:w="557"/>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Fo</w:t>
            </w:r>
          </w:p>
        </w:tc>
        <w:tc>
          <w:tcPr>
            <w:tcW w:type="dxa" w:w="557"/>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I</w:t>
            </w:r>
          </w:p>
        </w:tc>
        <w:tc>
          <w:tcPr>
            <w:tcW w:type="dxa" w:w="557"/>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R</w:t>
            </w:r>
          </w:p>
        </w:tc>
        <w:tc>
          <w:tcPr>
            <w:tcW w:type="dxa" w:w="557"/>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D</w:t>
            </w:r>
          </w:p>
        </w:tc>
        <w:tc>
          <w:tcPr>
            <w:tcW w:type="dxa" w:w="557"/>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O</w:t>
            </w:r>
          </w:p>
        </w:tc>
        <w:tc>
          <w:tcPr>
            <w:tcW w:type="dxa" w:w="557"/>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E</w:t>
            </w:r>
          </w:p>
        </w:tc>
        <w:tc>
          <w:tcPr>
            <w:tcW w:type="dxa" w:w="557"/>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Vi</w:t>
            </w:r>
          </w:p>
        </w:tc>
        <w:tc>
          <w:tcPr>
            <w:tcW w:type="dxa" w:w="557"/>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Su</w:t>
            </w:r>
          </w:p>
        </w:tc>
        <w:tc>
          <w:tcPr>
            <w:tcW w:type="dxa" w:w="557"/>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P</w:t>
            </w:r>
          </w:p>
        </w:tc>
        <w:tc>
          <w:tcPr>
            <w:tcW w:type="dxa" w:w="557"/>
            <w:tcBorders>
              <w:top w:val="single" w:color="B2B2B2" w:sz="4"/>
              <w:left w:val="single" w:color="B2B2B2" w:sz="4"/>
              <w:bottom w:val="single" w:color="B2B2B2" w:sz="4"/>
              <w:right w:val="single" w:color="B2B2B2"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Fu</w:t>
            </w:r>
          </w:p>
        </w:tc>
      </w:tr>
      <w:tr>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Kanafi</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r>
      <w:tr>
        <w:tc>
          <w:tcPr>
            <w:tcW w:type="dxa" w:w="1800"/>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Yusuf Wahyu Setiya Putra</w:t>
            </w:r>
          </w:p>
        </w:tc>
        <w:tc>
          <w:tcPr>
            <w:tcW w:type="dxa" w:w="557"/>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c>
          <w:tcPr>
            <w:tcW w:type="dxa" w:w="557"/>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c>
          <w:tcPr>
            <w:tcW w:type="dxa" w:w="557"/>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c>
          <w:tcPr>
            <w:tcW w:type="dxa" w:w="557"/>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c>
          <w:tcPr>
            <w:tcW w:type="dxa" w:w="557"/>
            <w:tcBorders>
              <w:top w:val="single" w:color="B2B2B2" w:sz="4"/>
              <w:left w:val="single" w:color="B2B2B2" w:sz="4"/>
              <w:bottom w:val="single" w:color="B2B2B2" w:sz="4"/>
              <w:right w:val="single" w:color="B2B2B2" w:sz="4"/>
            </w:tcBorders>
            <w:shd w:fill="F2F3F4"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r>
      <w:tr>
        <w:tc>
          <w:tcPr>
            <w:tcW w:type="dxa" w:w="1800"/>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Mira Fitriana</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w:t>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c>
          <w:tcPr>
            <w:tcW w:type="dxa" w:w="557"/>
            <w:tcBorders>
              <w:top w:val="single" w:color="B2B2B2" w:sz="4"/>
              <w:left w:val="single" w:color="B2B2B2" w:sz="4"/>
              <w:bottom w:val="single" w:color="B2B2B2" w:sz="4"/>
              <w:right w:val="single" w:color="B2B2B2" w:sz="4"/>
            </w:tcBorders>
            <w:shd w:fill="FDFEFE" w:val="clear"/>
            <w:tcMar>
              <w:top w:type="dxa" w:w="40"/>
              <w:left w:type="dxa" w:w="80"/>
              <w:bottom w:type="dxa" w:w="40"/>
              <w:right w:type="dxa" w:w="80"/>
            </w:tcMar>
            <w:vAlign w:val="center"/>
          </w:tcPr>
          <w:p>
            <w:pPr>
              <w:jc w:val="center"/>
            </w:pPr>
            <w:r>
              <w:rPr>
                <w:rFonts w:ascii="Times New Roman" w:cs="Times New Roman" w:eastAsia="Times New Roman" w:hAnsi="Times New Roman"/>
                <w:sz w:val="16"/>
                <w:szCs w:val="16"/>
              </w:rPr>
              <w:t xml:space="preserve"/>
            </w:r>
          </w:p>
        </w:tc>
      </w:tr>
    </w:tbl>
    <w:p>
      <w:pPr>
        <w:spacing w:after="60"/>
      </w:pPr>
      <w:r>
        <w:t xml:space="preserve"/>
      </w:r>
    </w:p>
    <w:p>
      <w:pPr>
        <w:spacing w:after="40"/>
      </w:pPr>
      <w:r>
        <w:rPr>
          <w:rFonts w:ascii="Times New Roman" w:cs="Times New Roman" w:eastAsia="Times New Roman" w:hAnsi="Times New Roman"/>
          <w:b/>
          <w:bCs/>
          <w:caps/>
          <w:sz w:val="20"/>
          <w:szCs w:val="20"/>
        </w:rPr>
        <w:t xml:space="preserve">PERNYATAAN KONFLIK KEPENTINGAN</w:t>
      </w:r>
    </w:p>
    <w:p>
      <w:pPr>
        <w:spacing w:after="80" w:line="240"/>
        <w:jc w:val="both"/>
      </w:pPr>
      <w:r>
        <w:rPr>
          <w:rFonts w:ascii="Times New Roman" w:cs="Times New Roman" w:eastAsia="Times New Roman" w:hAnsi="Times New Roman"/>
          <w:b w:val="false"/>
          <w:bCs w:val="false"/>
          <w:color w:val="000000"/>
          <w:sz w:val="20"/>
          <w:szCs w:val="20"/>
        </w:rPr>
        <w:t xml:space="preserve">Para penulis menyatakan tidak ada konflik kepentingan.</w:t>
      </w:r>
    </w:p>
    <w:p>
      <w:pPr>
        <w:spacing w:after="60"/>
      </w:pPr>
      <w:r>
        <w:t xml:space="preserve"/>
      </w:r>
    </w:p>
    <w:p>
      <w:pPr>
        <w:spacing w:after="40"/>
      </w:pPr>
      <w:r>
        <w:rPr>
          <w:rFonts w:ascii="Times New Roman" w:cs="Times New Roman" w:eastAsia="Times New Roman" w:hAnsi="Times New Roman"/>
          <w:b/>
          <w:bCs/>
          <w:caps/>
          <w:sz w:val="20"/>
          <w:szCs w:val="20"/>
        </w:rPr>
        <w:t xml:space="preserve">KETERSEDIAAN DATA</w:t>
      </w:r>
    </w:p>
    <w:p>
      <w:pPr>
        <w:spacing w:after="80" w:line="240"/>
        <w:jc w:val="both"/>
      </w:pPr>
      <w:r>
        <w:rPr>
          <w:rFonts w:ascii="Times New Roman" w:cs="Times New Roman" w:eastAsia="Times New Roman" w:hAnsi="Times New Roman"/>
          <w:b w:val="false"/>
          <w:bCs w:val="false"/>
          <w:color w:val="000000"/>
          <w:sz w:val="20"/>
          <w:szCs w:val="20"/>
        </w:rPr>
        <w:t xml:space="preserve">Data yang mendukung temuan penelitian ini tersedia dari penulis korespondensi atas permintaan yang wajar. Platform demonstrasi web dapat diakses publik di https://wstemporal.mediapatner.com/</w:t>
      </w:r>
    </w:p>
    <w:p>
      <w:pPr>
        <w:spacing w:after="60"/>
      </w:pPr>
      <w:r>
        <w:t xml:space="preserve"/>
      </w:r>
    </w:p>
    <w:p>
      <w:pPr>
        <w:spacing w:after="40"/>
      </w:pPr>
      <w:r>
        <w:rPr>
          <w:rFonts w:ascii="Times New Roman" w:cs="Times New Roman" w:eastAsia="Times New Roman" w:hAnsi="Times New Roman"/>
          <w:b/>
          <w:bCs/>
          <w:caps/>
          <w:sz w:val="20"/>
          <w:szCs w:val="20"/>
        </w:rPr>
        <w:t xml:space="preserve">REFERENSI</w:t>
      </w:r>
    </w:p>
    <w:p>
      <w:pPr>
        <w:spacing w:after="40"/>
      </w:pPr>
      <w:r>
        <w:rPr>
          <w:rFonts w:ascii="Times New Roman" w:cs="Times New Roman" w:eastAsia="Times New Roman" w:hAnsi="Times New Roman"/>
          <w:sz w:val="16"/>
          <w:szCs w:val="16"/>
        </w:rPr>
        <w:t xml:space="preserve">[1] I. Baydur, "Sustainable development of regional tourism for economic resilience," J. Bus. Econ. Options, vol. 7, no. 3, pp. 10–18, 2024.</w:t>
      </w:r>
    </w:p>
    <w:p>
      <w:pPr>
        <w:spacing w:after="40"/>
      </w:pPr>
      <w:r>
        <w:rPr>
          <w:rFonts w:ascii="Times New Roman" w:cs="Times New Roman" w:eastAsia="Times New Roman" w:hAnsi="Times New Roman"/>
          <w:sz w:val="16"/>
          <w:szCs w:val="16"/>
        </w:rPr>
        <w:t xml:space="preserve">[2] L. Latifah, "A semiotic branding analysis of Borobudur: world spiritual tourism destination," J. Humanity Soc. Justice, pp. 60–76, 2024.</w:t>
      </w:r>
    </w:p>
    <w:p>
      <w:pPr>
        <w:spacing w:after="40"/>
      </w:pPr>
      <w:r>
        <w:rPr>
          <w:rFonts w:ascii="Times New Roman" w:cs="Times New Roman" w:eastAsia="Times New Roman" w:hAnsi="Times New Roman"/>
          <w:sz w:val="16"/>
          <w:szCs w:val="16"/>
        </w:rPr>
        <w:t xml:space="preserve">[3] G. Solazzo et al., "Extracting insights from big social data for smarter tourism destination management," Meas. Bus. Excell., vol. 26, no. 1, pp. 122–140, 2022.</w:t>
      </w:r>
    </w:p>
    <w:p>
      <w:pPr>
        <w:spacing w:after="40"/>
      </w:pPr>
      <w:r>
        <w:rPr>
          <w:rFonts w:ascii="Times New Roman" w:cs="Times New Roman" w:eastAsia="Times New Roman" w:hAnsi="Times New Roman"/>
          <w:sz w:val="16"/>
          <w:szCs w:val="16"/>
        </w:rPr>
        <w:t xml:space="preserve">[4] X. Zhou et al., "A smart tourism recommendation algorithm based on cellular geospatial clustering," ISPRS Int. J. Geo-Inf., vol. 10, no. 9, p. 628, 2021.</w:t>
      </w:r>
    </w:p>
    <w:p>
      <w:pPr>
        <w:spacing w:after="40"/>
      </w:pPr>
      <w:r>
        <w:rPr>
          <w:rFonts w:ascii="Times New Roman" w:cs="Times New Roman" w:eastAsia="Times New Roman" w:hAnsi="Times New Roman"/>
          <w:sz w:val="16"/>
          <w:szCs w:val="16"/>
        </w:rPr>
        <w:t xml:space="preserve">[5] M. Sanchez-Rivero et al., "K-means segmentation of tourism accommodation based on the active use of websites," J. Vac. Mark., vol. 29, no. 4, pp. 654–669, 2023.</w:t>
      </w:r>
    </w:p>
    <w:p>
      <w:pPr>
        <w:spacing w:after="40"/>
      </w:pPr>
      <w:r>
        <w:rPr>
          <w:rFonts w:ascii="Times New Roman" w:cs="Times New Roman" w:eastAsia="Times New Roman" w:hAnsi="Times New Roman"/>
          <w:sz w:val="16"/>
          <w:szCs w:val="16"/>
        </w:rPr>
        <w:t xml:space="preserve">[6] Y. Qin et al., "Spatial-temporal evolution patterns of hotels in China: 1978–2018," Int. J. Contemp. Hosp. Manag., vol. 33, no. 6, pp. 2194–2218, 2021.</w:t>
      </w:r>
    </w:p>
    <w:p>
      <w:pPr>
        <w:spacing w:after="40"/>
      </w:pPr>
      <w:r>
        <w:rPr>
          <w:rFonts w:ascii="Times New Roman" w:cs="Times New Roman" w:eastAsia="Times New Roman" w:hAnsi="Times New Roman"/>
          <w:sz w:val="16"/>
          <w:szCs w:val="16"/>
        </w:rPr>
        <w:t xml:space="preserve">[7] K. Kanafi dan F. Fatkhurrochman, "Optimization of clustering model for mapping tourism potential in Magelang Regency using K-means clustering algorithm," Electron. J. Educ. Soc. Econ. Technol., vol. 6, no. 2, p. 1011, 2025.</w:t>
      </w:r>
    </w:p>
    <w:p>
      <w:pPr>
        <w:spacing w:after="40"/>
      </w:pPr>
      <w:r>
        <w:rPr>
          <w:rFonts w:ascii="Times New Roman" w:cs="Times New Roman" w:eastAsia="Times New Roman" w:hAnsi="Times New Roman"/>
          <w:sz w:val="16"/>
          <w:szCs w:val="16"/>
        </w:rPr>
        <w:t xml:space="preserve">[8] K. Vogklis, "Leveraging spatiotemporal big data for sustainable destination development," Inf. Technol. Tourism, vol. 27, no. 4, pp. 981–1010, 2025.</w:t>
      </w:r>
    </w:p>
    <w:p>
      <w:pPr>
        <w:spacing w:after="40"/>
      </w:pPr>
      <w:r>
        <w:rPr>
          <w:rFonts w:ascii="Times New Roman" w:cs="Times New Roman" w:eastAsia="Times New Roman" w:hAnsi="Times New Roman"/>
          <w:sz w:val="16"/>
          <w:szCs w:val="16"/>
        </w:rPr>
        <w:t xml:space="preserve">[9] E. Hassan et al., "A hybrid K-means++ and particle swarm optimization approach for enhanced document clustering," IEEE Access, 2025.</w:t>
      </w:r>
    </w:p>
    <w:p>
      <w:pPr>
        <w:spacing w:after="40"/>
      </w:pPr>
      <w:r>
        <w:rPr>
          <w:rFonts w:ascii="Times New Roman" w:cs="Times New Roman" w:eastAsia="Times New Roman" w:hAnsi="Times New Roman"/>
          <w:sz w:val="16"/>
          <w:szCs w:val="16"/>
        </w:rPr>
        <w:t xml:space="preserve">[10] Z. Gao et al., "Exploring tourist spatiotemporal behavior differences and tourism infrastructure supply-demand pattern," Int. J. Digital Earth, vol. 17, no. 1, p. 2310723, 2024.</w:t>
      </w:r>
    </w:p>
    <w:p>
      <w:pPr>
        <w:spacing w:after="40"/>
      </w:pPr>
      <w:r>
        <w:rPr>
          <w:rFonts w:ascii="Times New Roman" w:cs="Times New Roman" w:eastAsia="Times New Roman" w:hAnsi="Times New Roman"/>
          <w:sz w:val="16"/>
          <w:szCs w:val="16"/>
        </w:rPr>
        <w:t xml:space="preserve">[11] H. He et al., "Analysis of temporal and spatial evolution of tourism resource carrying capacity performance in China," Ecol. Indic., vol. 147, p. 109951, 2023.</w:t>
      </w:r>
    </w:p>
    <w:p>
      <w:pPr>
        <w:spacing w:after="40"/>
      </w:pPr>
      <w:r>
        <w:rPr>
          <w:rFonts w:ascii="Times New Roman" w:cs="Times New Roman" w:eastAsia="Times New Roman" w:hAnsi="Times New Roman"/>
          <w:sz w:val="16"/>
          <w:szCs w:val="16"/>
        </w:rPr>
        <w:t xml:space="preserve">[12] J. Rong et al., "Big data intelligent tourism management platform design based on abnormal behavior identification," Intell. Syst. Appl., vol. 21, p. 200312, 2024.</w:t>
      </w:r>
    </w:p>
    <w:p>
      <w:pPr>
        <w:spacing w:after="40"/>
      </w:pPr>
      <w:r>
        <w:rPr>
          <w:rFonts w:ascii="Times New Roman" w:cs="Times New Roman" w:eastAsia="Times New Roman" w:hAnsi="Times New Roman"/>
          <w:sz w:val="16"/>
          <w:szCs w:val="16"/>
        </w:rPr>
        <w:t xml:space="preserve">[13] X. Xiao et al., "Personalized tourism recommendation model based on temporal multilayer sequential neural network," Sci. Rep., vol. 15, no. 1, p. 382, 2025.</w:t>
      </w:r>
    </w:p>
    <w:p>
      <w:pPr>
        <w:spacing w:after="40"/>
      </w:pPr>
      <w:r>
        <w:rPr>
          <w:rFonts w:ascii="Times New Roman" w:cs="Times New Roman" w:eastAsia="Times New Roman" w:hAnsi="Times New Roman"/>
          <w:sz w:val="16"/>
          <w:szCs w:val="16"/>
        </w:rPr>
        <w:t xml:space="preserve">[14] M. B. Osman, "The synergy of data science, GIS spatial analysis and knowledge management as a path to sustainability insights," in Geographic Information Systems, London: IntechOpen, 2023.</w:t>
      </w:r>
    </w:p>
    <w:p>
      <w:pPr>
        <w:spacing w:after="40"/>
      </w:pPr>
      <w:r>
        <w:rPr>
          <w:rFonts w:ascii="Times New Roman" w:cs="Times New Roman" w:eastAsia="Times New Roman" w:hAnsi="Times New Roman"/>
          <w:sz w:val="16"/>
          <w:szCs w:val="16"/>
        </w:rPr>
        <w:t xml:space="preserve">[15] E. Rahmadian et al., "Big data governance: the case of mobile positioning data for official tourism statistics in Indonesia," in Proc. 64th ISI World Stat. Congr., 2023.</w:t>
      </w:r>
    </w:p>
    <w:p>
      <w:pPr>
        <w:spacing w:after="40"/>
      </w:pPr>
      <w:r>
        <w:rPr>
          <w:rFonts w:ascii="Times New Roman" w:cs="Times New Roman" w:eastAsia="Times New Roman" w:hAnsi="Times New Roman"/>
          <w:sz w:val="16"/>
          <w:szCs w:val="16"/>
        </w:rPr>
        <w:t xml:space="preserve">[16] A. M. Sharifnia et al., "A primer of data cleaning in quantitative research: handling missing values and outliers," J. Adv. Nurs., 2025.</w:t>
      </w:r>
    </w:p>
    <w:p>
      <w:pPr>
        <w:spacing w:after="40"/>
      </w:pPr>
      <w:r>
        <w:rPr>
          <w:rFonts w:ascii="Times New Roman" w:cs="Times New Roman" w:eastAsia="Times New Roman" w:hAnsi="Times New Roman"/>
          <w:sz w:val="16"/>
          <w:szCs w:val="16"/>
        </w:rPr>
        <w:t xml:space="preserve">[17] M. E. Kamenetsky et al., "Spatial and spatio-temporal cluster detection using stacking," Spat. Stat., p. 100933, 2025.</w:t>
      </w:r>
    </w:p>
    <w:p>
      <w:pPr>
        <w:spacing w:after="40"/>
      </w:pPr>
      <w:r>
        <w:rPr>
          <w:rFonts w:ascii="Times New Roman" w:cs="Times New Roman" w:eastAsia="Times New Roman" w:hAnsi="Times New Roman"/>
          <w:sz w:val="16"/>
          <w:szCs w:val="16"/>
        </w:rPr>
        <w:t xml:space="preserve">[18] C. Baldassi, "Recombinator-k-means: an evolutionary algorithm that exploits k-means++ for recombination," IEEE Trans. Evol. Comput., vol. 26, no. 5, pp. 991–1003, 2022.</w:t>
      </w:r>
    </w:p>
    <w:p>
      <w:pPr>
        <w:spacing w:after="40"/>
      </w:pPr>
      <w:r>
        <w:rPr>
          <w:rFonts w:ascii="Times New Roman" w:cs="Times New Roman" w:eastAsia="Times New Roman" w:hAnsi="Times New Roman"/>
          <w:sz w:val="16"/>
          <w:szCs w:val="16"/>
        </w:rPr>
        <w:t xml:space="preserve">[19] T. Wu et al., "Integrating spatial vitality and node-place model to evaluate and classify metro station areas in Wuhan," Front. Archit. Res., vol. 13, no. 6, pp. 1363–1376, 2024.</w:t>
      </w:r>
    </w:p>
    <w:p>
      <w:pPr>
        <w:spacing w:after="40"/>
      </w:pPr>
      <w:r>
        <w:rPr>
          <w:rFonts w:ascii="Times New Roman" w:cs="Times New Roman" w:eastAsia="Times New Roman" w:hAnsi="Times New Roman"/>
          <w:sz w:val="16"/>
          <w:szCs w:val="16"/>
        </w:rPr>
        <w:t xml:space="preserve">[20] S. Valizadeh-Haghi et al., "Feasibility study of establishing an integrated geographic information system," Perform. Meas. Metrics, vol. 25, no. 3–4, pp. 206–214, 2024.</w:t>
      </w:r>
    </w:p>
    <w:p>
      <w:pPr>
        <w:spacing w:after="40"/>
      </w:pPr>
      <w:r>
        <w:rPr>
          <w:rFonts w:ascii="Times New Roman" w:cs="Times New Roman" w:eastAsia="Times New Roman" w:hAnsi="Times New Roman"/>
          <w:sz w:val="16"/>
          <w:szCs w:val="16"/>
        </w:rPr>
        <w:t xml:space="preserve">[21] J. Rubiños et al., "A comparative analysis of algorithms and metrics to perform clustering," in Intl. Symp. Distributed Comput. Artificial Intell., Cham: Springer, pp. 63–72, 2024.</w:t>
      </w:r>
    </w:p>
    <w:p>
      <w:pPr>
        <w:spacing w:after="40"/>
      </w:pPr>
      <w:r>
        <w:rPr>
          <w:rFonts w:ascii="Times New Roman" w:cs="Times New Roman" w:eastAsia="Times New Roman" w:hAnsi="Times New Roman"/>
          <w:sz w:val="16"/>
          <w:szCs w:val="16"/>
        </w:rPr>
        <w:t xml:space="preserve">[22] K. Kanafi dan M. Fitriana, "The best tourism recommendation intelligent system model: weighted product and K-means methods," SISTEMASI, vol. 13, no. 5, pp. 2116–2129, 2024.</w:t>
      </w:r>
    </w:p>
    <w:p>
      <w:pPr>
        <w:spacing w:after="40"/>
      </w:pPr>
      <w:r>
        <w:rPr>
          <w:rFonts w:ascii="Times New Roman" w:cs="Times New Roman" w:eastAsia="Times New Roman" w:hAnsi="Times New Roman"/>
          <w:sz w:val="16"/>
          <w:szCs w:val="16"/>
        </w:rPr>
        <w:t xml:space="preserve">[23] M. Flórez et al., "A context-aware tourism recommender system using a hybrid method combining deep learning and ontology-based knowledge," J. Theor. Appl. Electron. Commer. Res., vol. 20, no. 3, p. 194, 2025.</w:t>
      </w:r>
    </w:p>
    <w:p>
      <w:pPr>
        <w:spacing w:after="40"/>
      </w:pPr>
      <w:r>
        <w:rPr>
          <w:rFonts w:ascii="Times New Roman" w:cs="Times New Roman" w:eastAsia="Times New Roman" w:hAnsi="Times New Roman"/>
          <w:sz w:val="16"/>
          <w:szCs w:val="16"/>
        </w:rPr>
        <w:t xml:space="preserve">[24] J. Nascimento dan S. M. C. Loureiro, "Boosting heritage recommendations through awe and augmented reality," Int. J. Contemp. Hosp. Manag., vol. 36, no. 11, pp. 3841–3864, 2024.</w:t>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left w:val="none"/>
            <w:bottom w:val="single" w:color="1A5276" w:sz="6"/>
            <w:right w:val="none"/>
          </w:tcBorders>
          <w:shd w:fill="1A5276" w:val="clear"/>
          <w:tcMar>
            <w:top w:type="dxa" w:w="60"/>
            <w:left w:type="dxa" w:w="80"/>
            <w:bottom w:type="dxa" w:w="60"/>
            <w:right w:type="dxa" w:w="80"/>
          </w:tcMar>
        </w:tcPr>
        <w:p>
          <w:r>
            <w:rPr>
              <w:rFonts w:ascii="Times New Roman" w:cs="Times New Roman" w:eastAsia="Times New Roman" w:hAnsi="Times New Roman"/>
              <w:b/>
              <w:bCs/>
              <w:color w:val="FFFFFF"/>
              <w:sz w:val="14"/>
              <w:szCs w:val="14"/>
            </w:rPr>
            <w:t xml:space="preserve">TELKOMNIKA Telecommun Comput El Control</w:t>
          </w:r>
        </w:p>
      </w:tc>
      <w:tc>
        <w:tcPr>
          <w:tcW w:type="dxa" w:w="4819"/>
          <w:tcBorders>
            <w:top w:val="none"/>
            <w:left w:val="none"/>
            <w:bottom w:val="single" w:color="1A5276" w:sz="6"/>
            <w:right w:val="none"/>
          </w:tcBorders>
          <w:shd w:fill="1A5276" w:val="clear"/>
          <w:tcMar>
            <w:top w:type="dxa" w:w="60"/>
            <w:left w:type="dxa" w:w="80"/>
            <w:bottom w:type="dxa" w:w="60"/>
            <w:right w:type="dxa" w:w="80"/>
          </w:tcMar>
        </w:tcPr>
        <w:p>
          <w:pPr>
            <w:jc w:val="right"/>
          </w:pPr>
          <w:r>
            <w:rPr>
              <w:rFonts w:ascii="Times New Roman" w:cs="Times New Roman" w:eastAsia="Times New Roman" w:hAnsi="Times New Roman"/>
              <w:b/>
              <w:bCs/>
              <w:color w:val="FFFFFF"/>
              <w:sz w:val="14"/>
              <w:szCs w:val="14"/>
            </w:rPr>
            <w:t xml:space="preserve">ISSN: 1693-6930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0b4ae8a8f97344e1d96b2b659c84d3bdf90fad5.png"/><Relationship Id="rId9" Type="http://schemas.openxmlformats.org/officeDocument/2006/relationships/image" Target="media/67f55ff1dc1686f3b076096335fc8d903f0d02c1.png"/><Relationship Id="rId10" Type="http://schemas.openxmlformats.org/officeDocument/2006/relationships/image" Target="media/a06434703a9c202890b4ee851b3f46f129137a3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2026-05-18T05:24:43.186Z</dcterms:created>
  <dcterms:modified xsi:type="dcterms:W3CDTF">2026-05-18T05:24:43.186Z</dcterms:modified>
</cp:coreProperties>
</file>

<file path=docProps/custom.xml><?xml version="1.0" encoding="utf-8"?>
<Properties xmlns="http://schemas.openxmlformats.org/officeDocument/2006/custom-properties" xmlns:vt="http://schemas.openxmlformats.org/officeDocument/2006/docPropsVTypes"/>
</file>