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60A6" w:rsidRPr="00227BF2" w:rsidRDefault="0009018B">
      <w:pPr>
        <w:spacing w:before="120" w:after="120"/>
        <w:jc w:val="center"/>
      </w:pPr>
      <w:r w:rsidRPr="00227BF2">
        <w:rPr>
          <w:b/>
          <w:bCs/>
        </w:rPr>
        <w:t>Conceptual Model Development of Spatial Intelligence Based on K-Means++ Clustering and Spatio-Temporal Analysis for Dynamic Modeling of Tourism Potential in Magelang Regency</w:t>
      </w:r>
    </w:p>
    <w:p w:rsidR="001C60A6" w:rsidRPr="00227BF2" w:rsidRDefault="0009018B">
      <w:pPr>
        <w:spacing w:after="60"/>
        <w:jc w:val="center"/>
      </w:pPr>
      <w:r w:rsidRPr="00227BF2">
        <w:rPr>
          <w:b/>
          <w:bCs/>
        </w:rPr>
        <w:t>Kanafi¹, Yusuf Wahyu Setiya Putra¹, Mira Fitriana¹</w:t>
      </w:r>
    </w:p>
    <w:p w:rsidR="001C60A6" w:rsidRPr="00227BF2" w:rsidRDefault="0009018B">
      <w:pPr>
        <w:spacing w:after="40"/>
        <w:jc w:val="center"/>
      </w:pPr>
      <w:r w:rsidRPr="00227BF2">
        <w:t>¹Informatics Study Program, STMIK Bina Patria, Magelang, Central Java, Indonesia</w:t>
      </w:r>
    </w:p>
    <w:p w:rsidR="001C60A6" w:rsidRDefault="0009018B">
      <w:pPr>
        <w:spacing w:after="160"/>
        <w:jc w:val="center"/>
      </w:pPr>
      <w:r w:rsidRPr="00227BF2">
        <w:t>Email: ¹kanafi@stmikbp.ac.id, ¹yusuf@stmikbp.ac.id, ¹mira@stmikbp.ac.id</w:t>
      </w:r>
    </w:p>
    <w:p w:rsidR="00420858" w:rsidRDefault="00420858" w:rsidP="00420858">
      <w:pPr>
        <w:spacing w:after="160"/>
      </w:pPr>
    </w:p>
    <w:tbl>
      <w:tblPr>
        <w:tblStyle w:val="TableGrid"/>
        <w:tblW w:w="8804" w:type="dxa"/>
        <w:jc w:val="center"/>
        <w:tblInd w:w="-762" w:type="dxa"/>
        <w:tblLook w:val="04A0" w:firstRow="1" w:lastRow="0" w:firstColumn="1" w:lastColumn="0" w:noHBand="0" w:noVBand="1"/>
      </w:tblPr>
      <w:tblGrid>
        <w:gridCol w:w="3041"/>
        <w:gridCol w:w="282"/>
        <w:gridCol w:w="5481"/>
      </w:tblGrid>
      <w:tr w:rsidR="00420858" w:rsidRPr="00F50FF3" w:rsidTr="00420858">
        <w:trPr>
          <w:jc w:val="center"/>
        </w:trPr>
        <w:tc>
          <w:tcPr>
            <w:tcW w:w="3041" w:type="dxa"/>
            <w:tcBorders>
              <w:top w:val="double" w:sz="4" w:space="0" w:color="auto"/>
              <w:left w:val="nil"/>
              <w:bottom w:val="single" w:sz="4" w:space="0" w:color="auto"/>
              <w:right w:val="nil"/>
            </w:tcBorders>
          </w:tcPr>
          <w:p w:rsidR="00420858" w:rsidRPr="00F50FF3" w:rsidRDefault="00420858" w:rsidP="003E15E2">
            <w:pPr>
              <w:spacing w:before="120"/>
              <w:jc w:val="both"/>
              <w:rPr>
                <w:b/>
              </w:rPr>
            </w:pPr>
            <w:r w:rsidRPr="00F50FF3">
              <w:rPr>
                <w:b/>
              </w:rPr>
              <w:t>Article Info</w:t>
            </w:r>
          </w:p>
        </w:tc>
        <w:tc>
          <w:tcPr>
            <w:tcW w:w="282" w:type="dxa"/>
            <w:tcBorders>
              <w:top w:val="double" w:sz="4" w:space="0" w:color="auto"/>
              <w:left w:val="nil"/>
              <w:bottom w:val="nil"/>
              <w:right w:val="nil"/>
            </w:tcBorders>
          </w:tcPr>
          <w:p w:rsidR="00420858" w:rsidRPr="00F50FF3" w:rsidRDefault="00420858" w:rsidP="003E15E2">
            <w:pPr>
              <w:spacing w:before="120"/>
              <w:jc w:val="center"/>
            </w:pPr>
          </w:p>
        </w:tc>
        <w:tc>
          <w:tcPr>
            <w:tcW w:w="5481" w:type="dxa"/>
            <w:tcBorders>
              <w:top w:val="double" w:sz="4" w:space="0" w:color="auto"/>
              <w:left w:val="nil"/>
              <w:bottom w:val="single" w:sz="4" w:space="0" w:color="auto"/>
              <w:right w:val="nil"/>
            </w:tcBorders>
          </w:tcPr>
          <w:p w:rsidR="00420858" w:rsidRPr="00F50FF3" w:rsidRDefault="00420858" w:rsidP="003E15E2">
            <w:pPr>
              <w:spacing w:before="120"/>
              <w:rPr>
                <w:color w:val="000000"/>
                <w:sz w:val="24"/>
                <w:szCs w:val="24"/>
              </w:rPr>
            </w:pPr>
            <w:r w:rsidRPr="00F50FF3">
              <w:rPr>
                <w:b/>
                <w:bCs/>
                <w:iCs/>
                <w:color w:val="000000"/>
              </w:rPr>
              <w:t xml:space="preserve">ABSTRACT </w:t>
            </w:r>
          </w:p>
        </w:tc>
      </w:tr>
      <w:tr w:rsidR="00420858" w:rsidRPr="00F50FF3" w:rsidTr="00420858">
        <w:trPr>
          <w:trHeight w:val="1268"/>
          <w:jc w:val="center"/>
        </w:trPr>
        <w:tc>
          <w:tcPr>
            <w:tcW w:w="3041" w:type="dxa"/>
            <w:tcBorders>
              <w:top w:val="single" w:sz="4" w:space="0" w:color="auto"/>
              <w:left w:val="nil"/>
              <w:bottom w:val="single" w:sz="4" w:space="0" w:color="auto"/>
              <w:right w:val="nil"/>
            </w:tcBorders>
          </w:tcPr>
          <w:p w:rsidR="00420858" w:rsidRPr="00F50FF3" w:rsidRDefault="00420858" w:rsidP="003E15E2">
            <w:pPr>
              <w:spacing w:before="120" w:after="120"/>
              <w:jc w:val="both"/>
              <w:rPr>
                <w:b/>
                <w:i/>
              </w:rPr>
            </w:pPr>
            <w:r w:rsidRPr="00F50FF3">
              <w:rPr>
                <w:b/>
                <w:i/>
              </w:rPr>
              <w:t>Article history:</w:t>
            </w:r>
          </w:p>
          <w:p w:rsidR="00420858" w:rsidRPr="00F50FF3" w:rsidRDefault="00420858" w:rsidP="003E15E2">
            <w:pPr>
              <w:jc w:val="both"/>
            </w:pPr>
            <w:r w:rsidRPr="00F50FF3">
              <w:t>Received month dd, yyyy</w:t>
            </w:r>
          </w:p>
          <w:p w:rsidR="00420858" w:rsidRPr="00F50FF3" w:rsidRDefault="00420858" w:rsidP="003E15E2">
            <w:pPr>
              <w:jc w:val="both"/>
            </w:pPr>
            <w:r w:rsidRPr="00F50FF3">
              <w:t>Revised month dd, yyyy</w:t>
            </w:r>
          </w:p>
          <w:p w:rsidR="00420858" w:rsidRPr="00F50FF3" w:rsidRDefault="00420858" w:rsidP="003E15E2">
            <w:pPr>
              <w:jc w:val="both"/>
            </w:pPr>
            <w:r w:rsidRPr="00F50FF3">
              <w:t>Accepted month dd, yyyy</w:t>
            </w:r>
          </w:p>
          <w:p w:rsidR="00420858" w:rsidRPr="00F50FF3" w:rsidRDefault="00420858" w:rsidP="003E15E2">
            <w:pPr>
              <w:jc w:val="both"/>
            </w:pPr>
          </w:p>
        </w:tc>
        <w:tc>
          <w:tcPr>
            <w:tcW w:w="282" w:type="dxa"/>
            <w:vMerge w:val="restart"/>
            <w:tcBorders>
              <w:top w:val="nil"/>
              <w:left w:val="nil"/>
              <w:bottom w:val="nil"/>
              <w:right w:val="nil"/>
            </w:tcBorders>
          </w:tcPr>
          <w:p w:rsidR="00420858" w:rsidRPr="00F50FF3" w:rsidRDefault="00420858" w:rsidP="003E15E2">
            <w:pPr>
              <w:spacing w:before="120"/>
              <w:jc w:val="both"/>
            </w:pPr>
          </w:p>
        </w:tc>
        <w:tc>
          <w:tcPr>
            <w:tcW w:w="5481" w:type="dxa"/>
            <w:vMerge w:val="restart"/>
            <w:tcBorders>
              <w:top w:val="single" w:sz="4" w:space="0" w:color="auto"/>
              <w:left w:val="nil"/>
              <w:bottom w:val="nil"/>
              <w:right w:val="nil"/>
            </w:tcBorders>
          </w:tcPr>
          <w:p w:rsidR="00420858" w:rsidRPr="00420858" w:rsidRDefault="00420858" w:rsidP="00420858">
            <w:pPr>
              <w:spacing w:before="120"/>
              <w:jc w:val="both"/>
              <w:rPr>
                <w:iCs/>
                <w:color w:val="000000"/>
                <w:sz w:val="18"/>
                <w:szCs w:val="18"/>
              </w:rPr>
            </w:pPr>
            <w:r w:rsidRPr="00420858">
              <w:rPr>
                <w:iCs/>
                <w:color w:val="000000"/>
                <w:sz w:val="18"/>
                <w:szCs w:val="18"/>
              </w:rPr>
              <w:t>Tourism in Magelang Regency possesses significant potential across natural, cultural, historical, and religious dimensions. However, strategic development remains constrained by the absence of dynamic, data-driven potential modeling that integrates spatial and temporal dimensions comprehensively. This study proposes a conceptual model of spatial intelligence based on K-Means++ clustering and spatio-temporal analysis for dynamic tourism potential modeling. Using a multivariate dataset of 15 tourist destinations encompassing attraction quality, accessibility, facilities, visitor numbers, revenue, and geographic coordinates, the K-Means++ algorithm produced three distinct cluster categories: Cluster 1 (Outstanding/Unggulan) dominated by Candi Borobudur, Cluster 2 (Developing/Berkembang) comprising 8 destinations, and Cluster 3 (Potential/Potensial) covering 6 destinations. Model validation using Silhouette Coefficient (SC = 0.500), Davies-Bouldin Index (DBI = 0.893), and Calinski-Harabasz Index (CHI = 7.05) confirmed acceptable cluster quality. Spatio-temporal analysis revealed dynamic tourist visit projections for 2025–2027, with Gunung Andong and Bukit Rhema demonstrating the highest growth rates. The resulting spatial intelligence conceptual framework serves as a foundational basis for future tourism recommendation systems and augmented reality-based mapping applications.</w:t>
            </w:r>
          </w:p>
          <w:p w:rsidR="00420858" w:rsidRPr="00F50FF3" w:rsidRDefault="00420858" w:rsidP="003E15E2">
            <w:pPr>
              <w:spacing w:before="120"/>
              <w:jc w:val="both"/>
            </w:pPr>
          </w:p>
        </w:tc>
      </w:tr>
      <w:tr w:rsidR="00420858" w:rsidRPr="00F50FF3" w:rsidTr="00420858">
        <w:trPr>
          <w:trHeight w:val="1231"/>
          <w:jc w:val="center"/>
        </w:trPr>
        <w:tc>
          <w:tcPr>
            <w:tcW w:w="3041" w:type="dxa"/>
            <w:vMerge w:val="restart"/>
            <w:tcBorders>
              <w:top w:val="single" w:sz="4" w:space="0" w:color="auto"/>
              <w:left w:val="nil"/>
              <w:bottom w:val="single" w:sz="4" w:space="0" w:color="auto"/>
              <w:right w:val="nil"/>
            </w:tcBorders>
          </w:tcPr>
          <w:p w:rsidR="00420858" w:rsidRPr="00F50FF3" w:rsidRDefault="00420858" w:rsidP="003E15E2">
            <w:pPr>
              <w:spacing w:before="120" w:after="120"/>
              <w:jc w:val="both"/>
              <w:rPr>
                <w:b/>
                <w:i/>
              </w:rPr>
            </w:pPr>
            <w:r w:rsidRPr="00F50FF3">
              <w:rPr>
                <w:b/>
                <w:i/>
              </w:rPr>
              <w:t>Keywords:</w:t>
            </w:r>
          </w:p>
          <w:p w:rsidR="00420858" w:rsidRPr="00227BF2" w:rsidRDefault="00420858" w:rsidP="00420858">
            <w:pPr>
              <w:spacing w:after="20"/>
            </w:pPr>
            <w:bookmarkStart w:id="0" w:name="_GoBack"/>
            <w:r w:rsidRPr="00227BF2">
              <w:t>K-Means++</w:t>
            </w:r>
          </w:p>
          <w:p w:rsidR="00420858" w:rsidRPr="00227BF2" w:rsidRDefault="00420858" w:rsidP="00420858">
            <w:pPr>
              <w:spacing w:after="20"/>
            </w:pPr>
            <w:r w:rsidRPr="00227BF2">
              <w:t>Spatial Intelligence</w:t>
            </w:r>
          </w:p>
          <w:p w:rsidR="00420858" w:rsidRPr="00227BF2" w:rsidRDefault="00420858" w:rsidP="00420858">
            <w:pPr>
              <w:spacing w:after="20"/>
            </w:pPr>
            <w:r w:rsidRPr="00227BF2">
              <w:t>Spatio-Temporal Analysis</w:t>
            </w:r>
          </w:p>
          <w:p w:rsidR="00420858" w:rsidRPr="00227BF2" w:rsidRDefault="00420858" w:rsidP="00420858">
            <w:pPr>
              <w:spacing w:after="20"/>
            </w:pPr>
            <w:r w:rsidRPr="00227BF2">
              <w:t>Tourism Potential</w:t>
            </w:r>
          </w:p>
          <w:p w:rsidR="00420858" w:rsidRPr="00F50FF3" w:rsidRDefault="00420858" w:rsidP="00420858">
            <w:pPr>
              <w:jc w:val="both"/>
              <w:rPr>
                <w:b/>
                <w:i/>
              </w:rPr>
            </w:pPr>
            <w:r w:rsidRPr="00227BF2">
              <w:t>Magelang Regency</w:t>
            </w:r>
            <w:bookmarkEnd w:id="0"/>
          </w:p>
        </w:tc>
        <w:tc>
          <w:tcPr>
            <w:tcW w:w="282" w:type="dxa"/>
            <w:vMerge/>
            <w:tcBorders>
              <w:top w:val="nil"/>
              <w:left w:val="nil"/>
              <w:bottom w:val="nil"/>
              <w:right w:val="nil"/>
            </w:tcBorders>
          </w:tcPr>
          <w:p w:rsidR="00420858" w:rsidRPr="00F50FF3" w:rsidRDefault="00420858" w:rsidP="003E15E2">
            <w:pPr>
              <w:spacing w:before="120"/>
              <w:jc w:val="both"/>
            </w:pPr>
          </w:p>
        </w:tc>
        <w:tc>
          <w:tcPr>
            <w:tcW w:w="5481" w:type="dxa"/>
            <w:vMerge/>
            <w:tcBorders>
              <w:top w:val="nil"/>
              <w:left w:val="nil"/>
              <w:bottom w:val="nil"/>
              <w:right w:val="nil"/>
            </w:tcBorders>
          </w:tcPr>
          <w:p w:rsidR="00420858" w:rsidRPr="00F50FF3" w:rsidRDefault="00420858" w:rsidP="003E15E2">
            <w:pPr>
              <w:spacing w:before="120"/>
              <w:jc w:val="both"/>
              <w:rPr>
                <w:iCs/>
                <w:color w:val="000000"/>
                <w:sz w:val="18"/>
                <w:szCs w:val="18"/>
              </w:rPr>
            </w:pPr>
          </w:p>
        </w:tc>
      </w:tr>
      <w:tr w:rsidR="00420858" w:rsidRPr="00F50FF3" w:rsidTr="00420858">
        <w:trPr>
          <w:trHeight w:val="70"/>
          <w:jc w:val="center"/>
        </w:trPr>
        <w:tc>
          <w:tcPr>
            <w:tcW w:w="3041" w:type="dxa"/>
            <w:vMerge/>
            <w:tcBorders>
              <w:top w:val="single" w:sz="4" w:space="0" w:color="auto"/>
              <w:left w:val="nil"/>
              <w:bottom w:val="single" w:sz="4" w:space="0" w:color="auto"/>
              <w:right w:val="nil"/>
            </w:tcBorders>
          </w:tcPr>
          <w:p w:rsidR="00420858" w:rsidRPr="00F50FF3" w:rsidRDefault="00420858" w:rsidP="003E15E2">
            <w:pPr>
              <w:spacing w:before="120" w:after="120"/>
              <w:jc w:val="both"/>
              <w:rPr>
                <w:b/>
                <w:i/>
              </w:rPr>
            </w:pPr>
          </w:p>
        </w:tc>
        <w:tc>
          <w:tcPr>
            <w:tcW w:w="282" w:type="dxa"/>
            <w:vMerge/>
            <w:tcBorders>
              <w:top w:val="nil"/>
              <w:left w:val="nil"/>
              <w:bottom w:val="nil"/>
              <w:right w:val="nil"/>
            </w:tcBorders>
          </w:tcPr>
          <w:p w:rsidR="00420858" w:rsidRPr="00F50FF3" w:rsidRDefault="00420858" w:rsidP="003E15E2">
            <w:pPr>
              <w:spacing w:before="120"/>
              <w:jc w:val="both"/>
            </w:pPr>
          </w:p>
        </w:tc>
        <w:tc>
          <w:tcPr>
            <w:tcW w:w="5481" w:type="dxa"/>
            <w:tcBorders>
              <w:top w:val="nil"/>
              <w:left w:val="nil"/>
              <w:bottom w:val="single" w:sz="4" w:space="0" w:color="auto"/>
              <w:right w:val="nil"/>
            </w:tcBorders>
          </w:tcPr>
          <w:p w:rsidR="00420858" w:rsidRPr="00F50FF3" w:rsidRDefault="00420858" w:rsidP="003E15E2">
            <w:pPr>
              <w:spacing w:before="120" w:after="120"/>
              <w:jc w:val="right"/>
              <w:rPr>
                <w:i/>
                <w:iCs/>
                <w:color w:val="000000"/>
                <w:sz w:val="18"/>
                <w:szCs w:val="18"/>
              </w:rPr>
            </w:pPr>
            <w:r w:rsidRPr="00F50FF3">
              <w:rPr>
                <w:i/>
                <w:iCs/>
                <w:color w:val="000000"/>
                <w:sz w:val="18"/>
                <w:szCs w:val="18"/>
              </w:rPr>
              <w:t xml:space="preserve">This is an open access article under the </w:t>
            </w:r>
            <w:hyperlink r:id="rId9" w:history="1">
              <w:r w:rsidRPr="00F50FF3">
                <w:rPr>
                  <w:rStyle w:val="Hyperlink"/>
                  <w:i/>
                  <w:iCs/>
                  <w:sz w:val="18"/>
                  <w:szCs w:val="18"/>
                </w:rPr>
                <w:t>CC BY-SA</w:t>
              </w:r>
            </w:hyperlink>
            <w:r w:rsidRPr="00F50FF3">
              <w:rPr>
                <w:i/>
                <w:iCs/>
                <w:color w:val="000000"/>
                <w:sz w:val="18"/>
                <w:szCs w:val="18"/>
              </w:rPr>
              <w:t xml:space="preserve"> license.</w:t>
            </w:r>
          </w:p>
          <w:p w:rsidR="00420858" w:rsidRPr="00F50FF3" w:rsidRDefault="00420858" w:rsidP="003E15E2">
            <w:pPr>
              <w:spacing w:before="120" w:after="120"/>
              <w:jc w:val="right"/>
              <w:rPr>
                <w:i/>
                <w:iCs/>
                <w:color w:val="000000"/>
                <w:sz w:val="18"/>
                <w:szCs w:val="18"/>
              </w:rPr>
            </w:pPr>
            <w:r w:rsidRPr="00F50FF3">
              <w:rPr>
                <w:noProof/>
              </w:rPr>
              <w:drawing>
                <wp:inline distT="0" distB="0" distL="0" distR="0" wp14:anchorId="326FCE1A" wp14:editId="064288B3">
                  <wp:extent cx="1057275" cy="371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420858" w:rsidRPr="00F50FF3" w:rsidTr="00420858">
        <w:trPr>
          <w:jc w:val="center"/>
        </w:trPr>
        <w:tc>
          <w:tcPr>
            <w:tcW w:w="8804" w:type="dxa"/>
            <w:gridSpan w:val="3"/>
            <w:tcBorders>
              <w:top w:val="nil"/>
              <w:left w:val="nil"/>
              <w:bottom w:val="double" w:sz="4" w:space="0" w:color="auto"/>
              <w:right w:val="nil"/>
            </w:tcBorders>
          </w:tcPr>
          <w:p w:rsidR="00420858" w:rsidRPr="00F50FF3" w:rsidRDefault="00420858" w:rsidP="003E15E2">
            <w:pPr>
              <w:spacing w:before="120" w:after="120"/>
              <w:rPr>
                <w:b/>
                <w:i/>
              </w:rPr>
            </w:pPr>
            <w:r w:rsidRPr="00F50FF3">
              <w:rPr>
                <w:b/>
                <w:i/>
              </w:rPr>
              <w:t>Corresponding Author:</w:t>
            </w:r>
          </w:p>
          <w:p w:rsidR="00420858" w:rsidRDefault="00420858" w:rsidP="00420858">
            <w:r w:rsidRPr="00227BF2">
              <w:t xml:space="preserve">Kanafi, </w:t>
            </w:r>
          </w:p>
          <w:p w:rsidR="00420858" w:rsidRDefault="00420858" w:rsidP="00420858">
            <w:r w:rsidRPr="00227BF2">
              <w:t>Informatics St</w:t>
            </w:r>
            <w:r>
              <w:t>udy Program, STMIK Bina Patria</w:t>
            </w:r>
          </w:p>
          <w:p w:rsidR="00420858" w:rsidRDefault="00420858" w:rsidP="00420858">
            <w:r w:rsidRPr="00227BF2">
              <w:t xml:space="preserve">Jl. Raden Saleh No.2, Magelang, Central Java, Indonesia. </w:t>
            </w:r>
          </w:p>
          <w:p w:rsidR="00420858" w:rsidRPr="00F50FF3" w:rsidRDefault="00420858" w:rsidP="00420858">
            <w:pPr>
              <w:spacing w:after="120"/>
            </w:pPr>
            <w:r w:rsidRPr="00227BF2">
              <w:t>Email: kanafi@stmikbp.ac.id</w:t>
            </w:r>
          </w:p>
        </w:tc>
      </w:tr>
    </w:tbl>
    <w:p w:rsidR="00420858" w:rsidRPr="00227BF2" w:rsidRDefault="00420858" w:rsidP="00420858">
      <w:pPr>
        <w:spacing w:after="160"/>
      </w:pPr>
    </w:p>
    <w:p w:rsidR="001C60A6" w:rsidRPr="00227BF2" w:rsidRDefault="0009018B">
      <w:pPr>
        <w:spacing w:before="160" w:after="80"/>
      </w:pPr>
      <w:r w:rsidRPr="00227BF2">
        <w:rPr>
          <w:b/>
          <w:bCs/>
          <w:caps/>
        </w:rPr>
        <w:t>1. INTRODUCTION</w:t>
      </w:r>
    </w:p>
    <w:p w:rsidR="0009018B" w:rsidRPr="0009018B" w:rsidRDefault="0009018B" w:rsidP="0009018B">
      <w:pPr>
        <w:spacing w:after="80"/>
        <w:ind w:firstLine="360"/>
        <w:jc w:val="both"/>
      </w:pPr>
      <w:r w:rsidRPr="0009018B">
        <w:t xml:space="preserve">Tourism constitutes one of the most strategically significant economic sectors globally, contributing to regional income diversification, employment generation, infrastructure development, and cultural preservation [1]. In Indonesia, the tourism sector accounts for a substantial proportion of gross domestic product and serves as a primary driver of foreign exchange earnings, particularly in regions endowed with heritage, natural, and religious attractions. Magelang Regency in Central Java exemplifies this profile, possessing a diverse and layered portfolio of tourism assets spanning natural landscapes, living cultural traditions, pre-colonial historical monuments, and active pilgrimage sites [2]. The regency hosts Candi Borobudur — a UNESCO World Heritage Site and the largest Buddhist temple complex in the world — which functions as the primary iconic attraction drawing both domestic and international visitors in volumes exceeding one million annually. Surrounding Borobudur, a constellation of secondary destinations including Candi Pawon, Candi Mendut, Punthuk Setumbu, Ketep Pass, and numerous emerging ecotourism and adventure sites collectively constitute the regional tourism ecosystem. Despite this richness, supporting destinations remain suboptimally utilized, receiving only a fraction of the visitor flows and institutional attention directed toward Borobudur, largely because strategic development planning has historically </w:t>
      </w:r>
      <w:r w:rsidRPr="0009018B">
        <w:lastRenderedPageBreak/>
        <w:t>relied on partial, static, and non-data-driven potential assessments that fail to capture the dynamic nature of visitor patterns and destination evolution over time [3].</w:t>
      </w:r>
    </w:p>
    <w:p w:rsidR="004133C0" w:rsidRDefault="004133C0" w:rsidP="00FA621A">
      <w:pPr>
        <w:spacing w:after="80"/>
        <w:ind w:firstLine="360"/>
        <w:jc w:val="both"/>
        <w:sectPr w:rsidR="004133C0" w:rsidSect="00E9756E">
          <w:headerReference w:type="default" r:id="rId11"/>
          <w:footerReference w:type="default" r:id="rId12"/>
          <w:headerReference w:type="first" r:id="rId13"/>
          <w:footerReference w:type="first" r:id="rId14"/>
          <w:pgSz w:w="11906" w:h="16838"/>
          <w:pgMar w:top="1418" w:right="1134" w:bottom="1134" w:left="1418" w:header="709" w:footer="709" w:gutter="0"/>
          <w:cols w:space="720"/>
          <w:titlePg/>
          <w:docGrid w:linePitch="360"/>
        </w:sectPr>
      </w:pPr>
    </w:p>
    <w:p w:rsidR="0009018B" w:rsidRPr="0009018B" w:rsidRDefault="0009018B" w:rsidP="00FA621A">
      <w:pPr>
        <w:spacing w:after="80"/>
        <w:ind w:firstLine="360"/>
        <w:jc w:val="both"/>
      </w:pPr>
      <w:r w:rsidRPr="0009018B">
        <w:lastRenderedPageBreak/>
        <w:t>Contemporary developments in data science, machine learning, and Geographic Information Systems (GIS) have opened transformative opportunities to apply clustering algorithms and spatial analysis methodologies for evidence-based tourism destination segmentation and strategic planning [4]. Destination segmentation enables policy makers to differentiate development interventions according to a destination's current performance profile, infrastructure readiness, and growth trajectory, rather than applying uniform resource allocation strategies. The K-Means clustering algorithm and its derivatives have been widely applied across tourism research contexts globally, including accommodation market segmentation [5], smart tourism recommendation systems based on geospatial clustering [4], analysis of hotel spatial distribution patterns [6], and tourist behavioral profiling using large-scale mobility data [10]. These applications collectively demonstrate the utility of clustering-based approaches for extracting actionable patterns from multivariate destination datasets. However, a systematic limitation pervades the existing literature: the majority of studies employ static, snapshot approaches without adequately integrating temporal dynamics or geographic structure, thereby producing segmentation models that cannot reflect destination evolution, seasonal demand variation, or shifting visitor behavioral patterns over time [5]. The consequence is a gap between analytical outputs and the practical requirements of adaptive tourism governance, which demands continuously updated, spatially referenced, and temporally sensitive intelligence products.</w:t>
      </w:r>
    </w:p>
    <w:p w:rsidR="0009018B" w:rsidRPr="0009018B" w:rsidRDefault="0009018B" w:rsidP="0009018B">
      <w:pPr>
        <w:spacing w:after="80"/>
        <w:ind w:firstLine="360"/>
        <w:jc w:val="both"/>
      </w:pPr>
      <w:r w:rsidRPr="0009018B">
        <w:t>A growing body of research has attempted to address the temporal and spatial limitations of conventional clustering approaches by integrating spatio-temporal analysis frameworks. Qin et al. [6] demonstrated the analytical value of longitudinal spatial-temporal evolution analysis in mapping hotel distribution patterns across Chinese cities from 1978 to 2018, revealing systematic relationships between destination lifecycle stages and infrastructure concentration. Gao et al. [10] analyzed tourist spatiotemporal behavioral differences and identified mismatches between tourism infrastructure supply and demand patterns using mobile positioning data. He et al. [11] examined the temporal and spatial evolution of tourism resource carrying capacity performance across Chinese provinces, establishing a methodological basis for multi-period comparative cluster analysis. More recently, Vogklis [8] demonstrated that leveraging spatiotemporal big data enables sustainable destination development planning by identifying growth corridors and capacity stress zones in advance. Despite these advances, the application of integrated K-Means++ clustering combined with compound growth projection and multi-index cluster validation to Indonesian regional tourism contexts — particularly for small-to-medium scale destination portfolios served by subnational government planning agencies — remains largely unexplored. Existing Indonesian tourism studies predominantly focus on single-destination visitor satisfaction analysis or qualitative policy assessments, without providing quantitative, spatially referenced, and temporally dynamic segmentation frameworks suitable for operational use by regional tourism offices [15].</w:t>
      </w:r>
    </w:p>
    <w:p w:rsidR="0009018B" w:rsidRPr="0009018B" w:rsidRDefault="0009018B" w:rsidP="0009018B">
      <w:pPr>
        <w:spacing w:after="80"/>
        <w:ind w:firstLine="360"/>
        <w:jc w:val="both"/>
      </w:pPr>
      <w:r w:rsidRPr="0009018B">
        <w:t>Directly preceding this work, Kanafi and Fatkhurrochman [7] developed a tourism potential clustering model for Magelang Regency utilizing the K-Means++ algorithm with multi-criteria variables and basic spatial visualization, producing high, medium, and low potential categories as a foundational data-driven mapping framework under the Penelitian Dasar Pengembangan (PDP) research scheme. That study represented a meaningful methodological advancement over qualitative and purely administrative planning approaches by introducing algorithmic destination segmentation. However, the model carried three substantive limitations that constrain its utility for strategic tourism governance. First, the model remained static: it produced a single-period cluster assignment without any mechanism for tracking destination evolution or projecting future visitor trajectories, preventing its use as a forward-looking planning instrument. Second, it lacked integration of temporal dimensions — specifically, year-over-year visitor pattern changes, seasonal temporal zone classifications, and destination behavioral dynamics — which are essential for identifying high-growth destinations requiring preemptive infrastructure investment. Third, it did not develop a spatial intelligence model framework with standardized interfaces to downstream application systems, meaning that clustering outputs could not serve as a structured input layer for tourism recommendation engines, decision support systems, or augmented reality-based navigation applications envisioned in subsequent research phases [22]. Kanafi and Fitriana [22] further developed a tourism recommendation intelligent system model using Weighted Product and K-Means methods, confirming the institutional appetite for computationally grounded tourism decision support at STMIK Bina Patria, but also highlighting the absence of a validated, dynamic spatial intelligence layer connecting clustering results to application-level recommendation logic.</w:t>
      </w:r>
    </w:p>
    <w:p w:rsidR="0009018B" w:rsidRPr="0009018B" w:rsidRDefault="0009018B" w:rsidP="0009018B">
      <w:pPr>
        <w:spacing w:after="80"/>
        <w:ind w:firstLine="360"/>
        <w:jc w:val="both"/>
      </w:pPr>
      <w:r w:rsidRPr="0009018B">
        <w:t xml:space="preserve">The selection of K-Means++ over standard K-Means is motivated by its theoretically superior initialization strategy, which provides an O(log k)-competitive bound on expected clustering cost relative to optimal, thereby reducing sensitivity to poor centroid initialization that can trap standard K-Means in suboptimal local minima [18]. Hassan et al. [9] demonstrated the extended utility of K-Means++ as a foundation for hybrid optimization approaches combining particle swarm optimization, confirming its status as a preferred baseline for clustering in complex multivariate domains. For tourism recommendation system integration, Xiao et al. [13] developed a personalized tourism recommendation model based on temporal multilayer sequential neural networks, </w:t>
      </w:r>
      <w:r w:rsidRPr="0009018B">
        <w:lastRenderedPageBreak/>
        <w:t>demonstrating that temporal feature encoding substantially improves recommendation relevance. Flórez et al. [23] proposed a context-aware tourism recommender system combining deep learning and ontology-based knowledge, identifying spatial cluster membership as a foundational feature for contextual relevance filtering. Nascimento and Loureiro [24] demonstrated that augmented reality applications significantly enhance heritage tourism recommendations, establishing the application-layer motivation for the AR-integrated spatial intelligence framework proposed in the present study. These downstream application requirements collectively justify the architectural decision to build the spatial intelligence model as a multi-layer framework with explicit interfaces to recommendation and AR systems, rather than as a standalone clustering exercise.</w:t>
      </w:r>
    </w:p>
    <w:p w:rsidR="0009018B" w:rsidRPr="0009018B" w:rsidRDefault="0009018B" w:rsidP="0009018B">
      <w:pPr>
        <w:spacing w:after="80"/>
        <w:ind w:firstLine="360"/>
        <w:jc w:val="both"/>
      </w:pPr>
      <w:r w:rsidRPr="0009018B">
        <w:t>Based on the synthesis of preceding research, the primary research gap addressed by this study is the absence of a validated, dynamic, spatio-temporally integrated spatial intelligence model for Magelang Regency tourism that combines: (a) a rigorously validated K-Means++ clustering engine with multi-index quality assessment; (b) compound growth projection modeling for temporal visitor trajectory analysis; and (c) a layered conceptual framework with defined interfaces for downstream recommendation system and AR application development. This study fills this gap by proposing and empirically instantiating a conceptual model of spatial intelligence based on K-Means++ clustering and spatio-temporal analysis for dynamic tourism potential modeling in Magelang Regency. The novelty of the contribution lies in the integrated architecture that connects data preprocessing, algorithmic clustering, multi-metric validation, growth projection, and application-layer interfacing within a single coherent framework — a design specifically suited to the operational requirements of subnational tourism governance in Indonesian regional contexts. The research addresses three primary questions: (1) How can a robust multivariate K-Means++ clustering model be designed and validated for tourism potential mapping using a multi-index quality assessment framework? (2) How can spatial and temporal dimensions be operationally integrated into the clustering model through geographic coordinate embedding and compound annual growth rate projection? (3) How can the spatial intelligence model be architecturally formulated as a foundation for tourism recommendation systems and augmented reality-based mapping applications in subsequent research phases?</w:t>
      </w:r>
    </w:p>
    <w:p w:rsidR="001C60A6" w:rsidRPr="00227BF2" w:rsidRDefault="0009018B">
      <w:pPr>
        <w:spacing w:before="160" w:after="80"/>
      </w:pPr>
      <w:r w:rsidRPr="00227BF2">
        <w:rPr>
          <w:b/>
          <w:bCs/>
          <w:caps/>
        </w:rPr>
        <w:t xml:space="preserve">2. </w:t>
      </w:r>
      <w:r w:rsidRPr="0009018B">
        <w:rPr>
          <w:b/>
        </w:rPr>
        <w:t>METHODOLOGY</w:t>
      </w:r>
    </w:p>
    <w:p w:rsidR="001C60A6" w:rsidRPr="00227BF2" w:rsidRDefault="0009018B">
      <w:pPr>
        <w:spacing w:after="80"/>
        <w:ind w:firstLine="360"/>
        <w:jc w:val="both"/>
      </w:pPr>
      <w:r w:rsidRPr="00227BF2">
        <w:t>This research employs a quantitative methodology integrating primary and secondary data within a data science and Geographic Information Systems (GIS) framework [14]. Data collection encompassed secondary sources from the Regional Tourism Office (Dinas Pariwisata), Central Statistics Agency (BPS), and Regional Development Planning Agency (Bappeda) of Magelang Regency, supplemented by spatial data including administrative boundary shapefiles and destination location coordinates [15]. The dataset comprises 15 tourist destinations with 12 attributes spanning attraction quality, accessibility, facilities, annual visitor numbers, revenue, geographic coordinates, year-over-year (YoY) growth trends, and temporal zone classifications.</w:t>
      </w:r>
    </w:p>
    <w:p w:rsidR="001C60A6" w:rsidRPr="00227BF2" w:rsidRDefault="0009018B">
      <w:pPr>
        <w:spacing w:before="120" w:after="60"/>
      </w:pPr>
      <w:r w:rsidRPr="00227BF2">
        <w:rPr>
          <w:b/>
          <w:bCs/>
        </w:rPr>
        <w:t>2.1.  Data Preprocessing and Normalization</w:t>
      </w:r>
    </w:p>
    <w:p w:rsidR="001C60A6" w:rsidRPr="00227BF2" w:rsidRDefault="0009018B">
      <w:pPr>
        <w:spacing w:after="80"/>
        <w:ind w:firstLine="360"/>
        <w:jc w:val="both"/>
      </w:pPr>
      <w:r w:rsidRPr="00227BF2">
        <w:t>Raw data underwent systematic preprocessing including missing value handling, outlier treatment using the Interquartile Range (IQR) method, and feature normalization using Min-Max scaling [16]. Given the heterogeneous measurement scales across attributes — visitor counts in hundreds of thousands, revenue in millions of rupiah, ratings on a 1–5 scale, and accessibility scores as integer ranks — normalization is critical to prevent scale-dominant attributes from distorting the clustering computation.</w:t>
      </w:r>
    </w:p>
    <w:p w:rsidR="001C60A6" w:rsidRPr="00227BF2" w:rsidRDefault="0009018B">
      <w:pPr>
        <w:spacing w:after="80"/>
        <w:ind w:firstLine="360"/>
        <w:jc w:val="both"/>
      </w:pPr>
      <w:r w:rsidRPr="00227BF2">
        <w:t>The Min-Max normalization formula transforms each attribute value X into a normalized range [0, 1] as defined in (1):</w:t>
      </w:r>
    </w:p>
    <w:p w:rsidR="001C60A6" w:rsidRPr="00227BF2" w:rsidRDefault="0009018B">
      <w:pPr>
        <w:tabs>
          <w:tab w:val="right" w:pos="9026"/>
        </w:tabs>
        <w:spacing w:before="80" w:after="80"/>
        <w:jc w:val="center"/>
      </w:pPr>
      <w:r w:rsidRPr="00227BF2">
        <w:rPr>
          <w:i/>
          <w:iCs/>
        </w:rPr>
        <w:t>X_norm = (X - X_min) / (X_max - X_min)</w:t>
      </w:r>
      <w:r w:rsidRPr="00227BF2">
        <w:tab/>
        <w:t>(1)</w:t>
      </w:r>
    </w:p>
    <w:p w:rsidR="001C60A6" w:rsidRPr="00227BF2" w:rsidRDefault="0009018B">
      <w:pPr>
        <w:spacing w:after="80"/>
        <w:ind w:firstLine="360"/>
        <w:jc w:val="both"/>
      </w:pPr>
      <w:r w:rsidRPr="00227BF2">
        <w:t>where X_norm is the normalized value, X is the original attribute value, X_min is the minimum value of the attribute across all destinations, and X_max is the maximum value of the attribute across all destinations. This transformation preserves the relative distribution of each attribute while ensuring proportional contribution across all variables in the distance computation.</w:t>
      </w:r>
    </w:p>
    <w:p w:rsidR="001C60A6" w:rsidRPr="00227BF2" w:rsidRDefault="0009018B">
      <w:pPr>
        <w:spacing w:after="80"/>
        <w:ind w:firstLine="360"/>
        <w:jc w:val="both"/>
      </w:pPr>
      <w:r w:rsidRPr="00227BF2">
        <w:t>The normalization was applied independently to each of the 7 quantitative attributes: visitor count, quality rating, accessibility score, facility score, annual revenue, YoY growth rate, and geographic coordinate components. After normalization, each attribute falls within [0, 1], enabling Euclidean distance calculations to reflect genuine multivariate proximity rather than scale artifacts.</w:t>
      </w:r>
    </w:p>
    <w:p w:rsidR="001C60A6" w:rsidRPr="00227BF2" w:rsidRDefault="0009018B">
      <w:pPr>
        <w:spacing w:before="120" w:after="60"/>
      </w:pPr>
      <w:r w:rsidRPr="00227BF2">
        <w:rPr>
          <w:b/>
          <w:bCs/>
        </w:rPr>
        <w:t>2.2.  K-Means++ Clustering Algorithm</w:t>
      </w:r>
    </w:p>
    <w:p w:rsidR="001C60A6" w:rsidRPr="00227BF2" w:rsidRDefault="0009018B">
      <w:pPr>
        <w:spacing w:after="80"/>
        <w:ind w:firstLine="360"/>
        <w:jc w:val="both"/>
      </w:pPr>
      <w:r w:rsidRPr="00227BF2">
        <w:t>The K-Means++ algorithm [18] was selected over standard K-Means due to its probability-proportional centroid initialization mechanism, which guarantees faster convergence and avoids poor initialization leading to suboptimal local minima. The initialization procedure begins by selecting the first centroid C₁ uniformly at random from the dataset D. Subsequent centroids are selected with probability proportional to D²(x), defined as the squared minimum distance from each data point x to the nearest already-selected centroid, as shown in (2):</w:t>
      </w:r>
    </w:p>
    <w:p w:rsidR="001C60A6" w:rsidRPr="00227BF2" w:rsidRDefault="0009018B">
      <w:pPr>
        <w:tabs>
          <w:tab w:val="right" w:pos="9026"/>
        </w:tabs>
        <w:spacing w:before="80" w:after="80"/>
        <w:jc w:val="center"/>
      </w:pPr>
      <w:r w:rsidRPr="00227BF2">
        <w:rPr>
          <w:i/>
          <w:iCs/>
        </w:rPr>
        <w:lastRenderedPageBreak/>
        <w:t>P(x) = D²(x) / Σ_{x</w:t>
      </w:r>
      <w:r w:rsidRPr="00227BF2">
        <w:rPr>
          <w:rFonts w:ascii="Cambria Math" w:hAnsi="Cambria Math" w:cs="Cambria Math"/>
          <w:i/>
          <w:iCs/>
        </w:rPr>
        <w:t>∈</w:t>
      </w:r>
      <w:r w:rsidRPr="00227BF2">
        <w:rPr>
          <w:i/>
          <w:iCs/>
        </w:rPr>
        <w:t>D} D²(x)</w:t>
      </w:r>
      <w:r w:rsidRPr="00227BF2">
        <w:tab/>
        <w:t>(2)</w:t>
      </w:r>
    </w:p>
    <w:p w:rsidR="001C60A6" w:rsidRPr="00227BF2" w:rsidRDefault="0009018B">
      <w:pPr>
        <w:spacing w:after="80"/>
        <w:ind w:firstLine="360"/>
        <w:jc w:val="both"/>
      </w:pPr>
      <w:r w:rsidRPr="00227BF2">
        <w:t>where P(x) is the selection probability for point x, D²(x) = minⱼ ||x - Cⱼ||² is the squared distance from x to the nearest already-selected centroid Cⱼ, and the denominator is a normalization constant ensuring all probabilities sum to 1. This initialization strategy provides an O(log k)-competitive guarantee over optimal clustering cost.</w:t>
      </w:r>
    </w:p>
    <w:p w:rsidR="001C60A6" w:rsidRPr="00227BF2" w:rsidRDefault="0009018B">
      <w:pPr>
        <w:spacing w:after="80"/>
        <w:ind w:firstLine="360"/>
        <w:jc w:val="both"/>
      </w:pPr>
      <w:r w:rsidRPr="00227BF2">
        <w:t>Following initialization, the standard K-Means iteration is executed. Each destination data point xᵢ is assigned to its nearest centroid according to the Euclidean distance in (3):</w:t>
      </w:r>
    </w:p>
    <w:p w:rsidR="001C60A6" w:rsidRPr="00227BF2" w:rsidRDefault="0009018B">
      <w:pPr>
        <w:tabs>
          <w:tab w:val="right" w:pos="9026"/>
        </w:tabs>
        <w:spacing w:before="80" w:after="80"/>
        <w:jc w:val="center"/>
      </w:pPr>
      <w:r w:rsidRPr="00227BF2">
        <w:rPr>
          <w:i/>
          <w:iCs/>
        </w:rPr>
        <w:t>C(xᵢ) = argminⱼ ||xᵢ - μⱼ||</w:t>
      </w:r>
      <w:r w:rsidRPr="00227BF2">
        <w:tab/>
        <w:t>(3)</w:t>
      </w:r>
    </w:p>
    <w:p w:rsidR="001C60A6" w:rsidRPr="00227BF2" w:rsidRDefault="0009018B">
      <w:pPr>
        <w:spacing w:after="80"/>
        <w:ind w:firstLine="360"/>
        <w:jc w:val="both"/>
      </w:pPr>
      <w:r w:rsidRPr="00227BF2">
        <w:t>where C(xᵢ) is the cluster assignment of destination i, μⱼ is the centroid of cluster k, and || · || denotes Euclidean norm. After all assignments, centroids are updated as the arithmetic mean of all member points in cluster k, as expressed in (4):</w:t>
      </w:r>
    </w:p>
    <w:p w:rsidR="001C60A6" w:rsidRPr="00227BF2" w:rsidRDefault="0009018B">
      <w:pPr>
        <w:tabs>
          <w:tab w:val="right" w:pos="9026"/>
        </w:tabs>
        <w:spacing w:before="80" w:after="80"/>
        <w:jc w:val="center"/>
      </w:pPr>
      <w:r w:rsidRPr="00227BF2">
        <w:rPr>
          <w:i/>
          <w:iCs/>
        </w:rPr>
        <w:t>μⱼ = (1/|Sⱼ|) Σ_{xᵢ</w:t>
      </w:r>
      <w:r w:rsidRPr="00227BF2">
        <w:rPr>
          <w:rFonts w:ascii="Cambria Math" w:hAnsi="Cambria Math" w:cs="Cambria Math"/>
          <w:i/>
          <w:iCs/>
        </w:rPr>
        <w:t>∈</w:t>
      </w:r>
      <w:r w:rsidRPr="00227BF2">
        <w:rPr>
          <w:i/>
          <w:iCs/>
        </w:rPr>
        <w:t>Sⱼ} xᵢ</w:t>
      </w:r>
      <w:r w:rsidRPr="00227BF2">
        <w:tab/>
        <w:t>(4)</w:t>
      </w:r>
    </w:p>
    <w:p w:rsidR="001C60A6" w:rsidRPr="00227BF2" w:rsidRDefault="0009018B">
      <w:pPr>
        <w:spacing w:after="80"/>
        <w:ind w:firstLine="360"/>
        <w:jc w:val="both"/>
      </w:pPr>
      <w:r w:rsidRPr="00227BF2">
        <w:t>where Sⱼ is the set of all data points assigned to cluster k, and |Sⱼ| denotes the cardinality of that set. The algorithm iterates the assignment and update steps until convergence is reached when the maximum centroid shift satisfies the stopping criterion in (5):</w:t>
      </w:r>
    </w:p>
    <w:p w:rsidR="001C60A6" w:rsidRPr="00227BF2" w:rsidRDefault="0009018B">
      <w:pPr>
        <w:tabs>
          <w:tab w:val="right" w:pos="9026"/>
        </w:tabs>
        <w:spacing w:before="80" w:after="80"/>
        <w:jc w:val="center"/>
      </w:pPr>
      <w:r w:rsidRPr="00227BF2">
        <w:rPr>
          <w:i/>
          <w:iCs/>
        </w:rPr>
        <w:t>Δ = maxⱼ ||μⱼ(t+1) - μⱼ(t)|| &lt; ε = 0.0001</w:t>
      </w:r>
      <w:r w:rsidRPr="00227BF2">
        <w:tab/>
        <w:t>(5)</w:t>
      </w:r>
    </w:p>
    <w:p w:rsidR="001C60A6" w:rsidRPr="00227BF2" w:rsidRDefault="0009018B">
      <w:pPr>
        <w:spacing w:after="80"/>
        <w:ind w:firstLine="360"/>
        <w:jc w:val="both"/>
      </w:pPr>
      <w:r w:rsidRPr="00227BF2">
        <w:t>where μⱼ(t) and μⱼ(t+1) denote the centroids of cluster k at iterations t and t+1 respectively, and ε is the convergence threshold. The experiment was conducted with K = 3 clusters representing Outstanding (Unggulan), Developing (Berkembang), and Potential (Potensial) categories, reflecting strategic differentiation aligned with tourism development policy objectives.</w:t>
      </w:r>
    </w:p>
    <w:p w:rsidR="001C60A6" w:rsidRPr="00227BF2" w:rsidRDefault="0009018B">
      <w:pPr>
        <w:spacing w:before="120" w:after="60"/>
      </w:pPr>
      <w:r w:rsidRPr="00227BF2">
        <w:rPr>
          <w:b/>
          <w:bCs/>
        </w:rPr>
        <w:t>2.3.  Spatio-Temporal Integration</w:t>
      </w:r>
    </w:p>
    <w:p w:rsidR="001C60A6" w:rsidRPr="00227BF2" w:rsidRDefault="0009018B">
      <w:pPr>
        <w:spacing w:after="80"/>
        <w:ind w:firstLine="360"/>
        <w:jc w:val="both"/>
      </w:pPr>
      <w:r w:rsidRPr="00227BF2">
        <w:t>Spatial intelligence integration incorporates geographic coordinates (longitude, latitude), administrative boundaries, and road network data through GIS library-based mapping and spatial analysis [14]. Temporal analysis tracks cluster membership changes across observation periods to capture destination dynamic patterns, constructing a spatial intelligence layer connecting clustering results with geographic and temporal context.</w:t>
      </w:r>
    </w:p>
    <w:p w:rsidR="001C60A6" w:rsidRPr="00227BF2" w:rsidRDefault="0009018B">
      <w:pPr>
        <w:spacing w:after="80"/>
        <w:ind w:firstLine="360"/>
        <w:jc w:val="both"/>
      </w:pPr>
      <w:r w:rsidRPr="00227BF2">
        <w:t>Three-year visitor projections (2025–2027) were computed using the compound annual growth rate (CAGR) formula applied per destination, enabling identification of high-growth destinations requiring prioritized development attention. The projected visitor count V_t for year t is defined in (6):</w:t>
      </w:r>
    </w:p>
    <w:p w:rsidR="001C60A6" w:rsidRPr="00227BF2" w:rsidRDefault="0009018B">
      <w:pPr>
        <w:tabs>
          <w:tab w:val="right" w:pos="9026"/>
        </w:tabs>
        <w:spacing w:before="80" w:after="80"/>
        <w:jc w:val="center"/>
      </w:pPr>
      <w:r w:rsidRPr="00227BF2">
        <w:rPr>
          <w:i/>
          <w:iCs/>
        </w:rPr>
        <w:t>V_t = V_0 × (1 + r)^t</w:t>
      </w:r>
      <w:r w:rsidRPr="00227BF2">
        <w:tab/>
        <w:t>(6)</w:t>
      </w:r>
    </w:p>
    <w:p w:rsidR="001C60A6" w:rsidRPr="00227BF2" w:rsidRDefault="0009018B">
      <w:pPr>
        <w:spacing w:after="80"/>
        <w:ind w:firstLine="360"/>
        <w:jc w:val="both"/>
      </w:pPr>
      <w:r w:rsidRPr="00227BF2">
        <w:t>where V_0 is the baseline visitor count in year 2024, r is the annual YoY growth rate expressed as a decimal, and t is the number of projection years from the baseline (t = 1, 2, 3 for 2025, 2026, and 2027 respectively). This formula assumes constant annual growth proportional to the observed historical rate, providing a first-order extrapolation suitable for short-term strategic planning scenarios.</w:t>
      </w:r>
    </w:p>
    <w:p w:rsidR="001C60A6" w:rsidRPr="00227BF2" w:rsidRDefault="0009018B">
      <w:pPr>
        <w:spacing w:before="120" w:after="60"/>
      </w:pPr>
      <w:r w:rsidRPr="00227BF2">
        <w:rPr>
          <w:b/>
          <w:bCs/>
        </w:rPr>
        <w:t>2.4.  Model Validation Metrics</w:t>
      </w:r>
    </w:p>
    <w:p w:rsidR="001C60A6" w:rsidRPr="00227BF2" w:rsidRDefault="0009018B">
      <w:pPr>
        <w:spacing w:after="80"/>
        <w:ind w:firstLine="360"/>
        <w:jc w:val="both"/>
      </w:pPr>
      <w:r w:rsidRPr="00227BF2">
        <w:t>Three complementary cluster validation metrics were employed to assess model quality [19, 21]. The Silhouette Coefficient (SC) measures cluster cohesion and separation and is defined in (7):</w:t>
      </w:r>
    </w:p>
    <w:p w:rsidR="001C60A6" w:rsidRPr="00227BF2" w:rsidRDefault="0009018B">
      <w:pPr>
        <w:tabs>
          <w:tab w:val="right" w:pos="9026"/>
        </w:tabs>
        <w:spacing w:before="80" w:after="80"/>
        <w:jc w:val="center"/>
      </w:pPr>
      <w:r w:rsidRPr="00227BF2">
        <w:rPr>
          <w:i/>
          <w:iCs/>
        </w:rPr>
        <w:t>SC = (bᵢ - aᵢ) / max(aᵢ, bᵢ)</w:t>
      </w:r>
      <w:r w:rsidRPr="00227BF2">
        <w:tab/>
        <w:t>(7)</w:t>
      </w:r>
    </w:p>
    <w:p w:rsidR="001C60A6" w:rsidRPr="00227BF2" w:rsidRDefault="0009018B">
      <w:pPr>
        <w:spacing w:after="80"/>
        <w:ind w:firstLine="360"/>
        <w:jc w:val="both"/>
      </w:pPr>
      <w:r w:rsidRPr="00227BF2">
        <w:t>where aᵢ is the mean intra-cluster distance of point i to all other points in the same cluster, and bᵢ is the mean nearest-cluster distance, i.e., the mean distance of point i to all points in the nearest neighboring cluster. SC ranges from −1 to +1; values above 0.5 indicate acceptable clustering.</w:t>
      </w:r>
    </w:p>
    <w:p w:rsidR="001C60A6" w:rsidRPr="00227BF2" w:rsidRDefault="0009018B">
      <w:pPr>
        <w:spacing w:after="80"/>
        <w:ind w:firstLine="360"/>
        <w:jc w:val="both"/>
      </w:pPr>
      <w:r w:rsidRPr="00227BF2">
        <w:t>The Davies-Bouldin Index (DBI) quantifies cluster compactness and separation as defined in (8):</w:t>
      </w:r>
    </w:p>
    <w:p w:rsidR="001C60A6" w:rsidRPr="00227BF2" w:rsidRDefault="0009018B">
      <w:pPr>
        <w:tabs>
          <w:tab w:val="right" w:pos="9026"/>
        </w:tabs>
        <w:spacing w:before="80" w:after="80"/>
        <w:jc w:val="center"/>
      </w:pPr>
      <w:r w:rsidRPr="00227BF2">
        <w:rPr>
          <w:i/>
          <w:iCs/>
        </w:rPr>
        <w:t>DBI = (1/K) Σᵢ maxⱼ≠ᵢ [(sᵢ + sⱼ) / d(cᵢ, cⱼ)]</w:t>
      </w:r>
      <w:r w:rsidRPr="00227BF2">
        <w:tab/>
        <w:t>(8)</w:t>
      </w:r>
    </w:p>
    <w:p w:rsidR="001C60A6" w:rsidRPr="00227BF2" w:rsidRDefault="0009018B">
      <w:pPr>
        <w:spacing w:after="80"/>
        <w:ind w:firstLine="360"/>
        <w:jc w:val="both"/>
      </w:pPr>
      <w:r w:rsidRPr="00227BF2">
        <w:t>where K is the number of clusters, sᵢ and sⱼ are the average intra-cluster distances (scatter) for clusters i and k respectively, and d(cᵢ, cⱼ) is the Euclidean distance between cluster centroids cᵢ and cⱼ. Lower DBI values (DBI &lt; 1.0) indicate better-separated and more compact clusters.</w:t>
      </w:r>
    </w:p>
    <w:p w:rsidR="001C60A6" w:rsidRPr="00227BF2" w:rsidRDefault="0009018B">
      <w:pPr>
        <w:spacing w:after="80"/>
        <w:ind w:firstLine="360"/>
        <w:jc w:val="both"/>
      </w:pPr>
      <w:r w:rsidRPr="00227BF2">
        <w:t>The Calinski-Harabasz Index (CHI) evaluates the ratio of inter-cluster variance to intra-cluster variance as defined in (9):</w:t>
      </w:r>
    </w:p>
    <w:p w:rsidR="001C60A6" w:rsidRPr="00227BF2" w:rsidRDefault="0009018B">
      <w:pPr>
        <w:tabs>
          <w:tab w:val="right" w:pos="9026"/>
        </w:tabs>
        <w:spacing w:before="80" w:after="80"/>
        <w:jc w:val="center"/>
      </w:pPr>
      <w:r w:rsidRPr="00227BF2">
        <w:rPr>
          <w:i/>
          <w:iCs/>
        </w:rPr>
        <w:t>CHI = [SS_B / (K-1)] / [SS_W / (N-K)]</w:t>
      </w:r>
      <w:r w:rsidRPr="00227BF2">
        <w:tab/>
        <w:t>(9)</w:t>
      </w:r>
    </w:p>
    <w:p w:rsidR="001C60A6" w:rsidRDefault="0009018B">
      <w:pPr>
        <w:spacing w:after="80"/>
        <w:ind w:firstLine="360"/>
        <w:jc w:val="both"/>
      </w:pPr>
      <w:r w:rsidRPr="00227BF2">
        <w:t>where SS_B is the between-cluster sum of squares, SS_W is the within-cluster sum of squares, K is the number of clusters, and N is the total number of data points. Higher CHI values indicate more compact and well-separated clusters; however, the index is sensitive to dataset size, and low values may occur with small N (N = 15 in this study).</w:t>
      </w:r>
    </w:p>
    <w:p w:rsidR="001C60A6" w:rsidRPr="00227BF2" w:rsidRDefault="0009018B">
      <w:pPr>
        <w:spacing w:before="160" w:after="80"/>
      </w:pPr>
      <w:r w:rsidRPr="00227BF2">
        <w:rPr>
          <w:b/>
          <w:bCs/>
          <w:caps/>
        </w:rPr>
        <w:lastRenderedPageBreak/>
        <w:t>3. RESULTS AND DISCUSSION</w:t>
      </w:r>
    </w:p>
    <w:p w:rsidR="001C60A6" w:rsidRPr="00227BF2" w:rsidRDefault="0009018B">
      <w:pPr>
        <w:spacing w:before="120" w:after="60"/>
      </w:pPr>
      <w:r w:rsidRPr="00227BF2">
        <w:rPr>
          <w:b/>
          <w:bCs/>
        </w:rPr>
        <w:t>3.1.  Dataset Description</w:t>
      </w:r>
    </w:p>
    <w:p w:rsidR="001C60A6" w:rsidRPr="00227BF2" w:rsidRDefault="0009018B">
      <w:pPr>
        <w:spacing w:after="80"/>
        <w:ind w:firstLine="360"/>
        <w:jc w:val="both"/>
      </w:pPr>
      <w:r w:rsidRPr="00227BF2">
        <w:t>The dataset encompasses 15 tourist destinations in Magelang Regency with multivariate attributes including spatial coordinates, annual visitor numbers, quality ratings, accessibility, facility scores, revenue data, and temporal zone classifications. Table 1 presents the complete dataset used in this study.</w:t>
      </w:r>
    </w:p>
    <w:p w:rsidR="001C60A6" w:rsidRPr="00227BF2" w:rsidRDefault="0009018B">
      <w:pPr>
        <w:spacing w:before="80" w:after="80"/>
        <w:jc w:val="center"/>
      </w:pPr>
      <w:r w:rsidRPr="00227BF2">
        <w:rPr>
          <w:b/>
          <w:bCs/>
        </w:rPr>
        <w:t>Table 1. Spatio-Temporal Dataset of Tourist Destinations in Magelang Regency</w:t>
      </w:r>
    </w:p>
    <w:tbl>
      <w:tblPr>
        <w:tblW w:w="936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7"/>
        <w:gridCol w:w="1848"/>
        <w:gridCol w:w="1116"/>
        <w:gridCol w:w="806"/>
        <w:gridCol w:w="794"/>
        <w:gridCol w:w="879"/>
        <w:gridCol w:w="1201"/>
        <w:gridCol w:w="764"/>
        <w:gridCol w:w="1541"/>
      </w:tblGrid>
      <w:tr w:rsidR="001C60A6" w:rsidRPr="00227BF2" w:rsidTr="00227BF2">
        <w:tc>
          <w:tcPr>
            <w:tcW w:w="417"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r w:rsidRPr="00227BF2">
              <w:rPr>
                <w:b/>
                <w:bCs/>
              </w:rPr>
              <w:t>ID</w:t>
            </w:r>
          </w:p>
        </w:tc>
        <w:tc>
          <w:tcPr>
            <w:tcW w:w="1848"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r w:rsidRPr="00227BF2">
              <w:rPr>
                <w:b/>
                <w:bCs/>
              </w:rPr>
              <w:t>Destination</w:t>
            </w:r>
          </w:p>
        </w:tc>
        <w:tc>
          <w:tcPr>
            <w:tcW w:w="111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Visits/Year</w:t>
            </w:r>
          </w:p>
        </w:tc>
        <w:tc>
          <w:tcPr>
            <w:tcW w:w="80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Rating</w:t>
            </w:r>
          </w:p>
        </w:tc>
        <w:tc>
          <w:tcPr>
            <w:tcW w:w="794"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Access</w:t>
            </w:r>
          </w:p>
        </w:tc>
        <w:tc>
          <w:tcPr>
            <w:tcW w:w="879"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Facility</w:t>
            </w:r>
          </w:p>
        </w:tc>
        <w:tc>
          <w:tcPr>
            <w:tcW w:w="1201"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Revenue (Jt Rp)</w:t>
            </w:r>
          </w:p>
        </w:tc>
        <w:tc>
          <w:tcPr>
            <w:tcW w:w="764"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YoY (%)</w:t>
            </w:r>
          </w:p>
        </w:tc>
        <w:tc>
          <w:tcPr>
            <w:tcW w:w="1541"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Temporal Zone</w:t>
            </w:r>
          </w:p>
        </w:tc>
      </w:tr>
      <w:tr w:rsidR="001C60A6" w:rsidRPr="00227BF2" w:rsidTr="00227BF2">
        <w:tc>
          <w:tcPr>
            <w:tcW w:w="4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1</w:t>
            </w:r>
          </w:p>
        </w:tc>
        <w:tc>
          <w:tcPr>
            <w:tcW w:w="184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Candi Borobudur</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1,250,000</w:t>
            </w:r>
          </w:p>
        </w:tc>
        <w:tc>
          <w:tcPr>
            <w:tcW w:w="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4.9</w:t>
            </w:r>
          </w:p>
        </w:tc>
        <w:tc>
          <w:tcPr>
            <w:tcW w:w="79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5</w:t>
            </w:r>
          </w:p>
        </w:tc>
        <w:tc>
          <w:tcPr>
            <w:tcW w:w="87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5</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18,500</w:t>
            </w:r>
          </w:p>
        </w:tc>
        <w:tc>
          <w:tcPr>
            <w:tcW w:w="7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12.3</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Peak Season</w:t>
            </w:r>
          </w:p>
        </w:tc>
      </w:tr>
      <w:tr w:rsidR="001C60A6" w:rsidRPr="00227BF2" w:rsidTr="00227BF2">
        <w:tc>
          <w:tcPr>
            <w:tcW w:w="417"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2</w:t>
            </w:r>
          </w:p>
        </w:tc>
        <w:tc>
          <w:tcPr>
            <w:tcW w:w="1848"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Punthuk Setumbu</w:t>
            </w:r>
          </w:p>
        </w:tc>
        <w:tc>
          <w:tcPr>
            <w:tcW w:w="111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185,000</w:t>
            </w:r>
          </w:p>
        </w:tc>
        <w:tc>
          <w:tcPr>
            <w:tcW w:w="8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4.7</w:t>
            </w:r>
          </w:p>
        </w:tc>
        <w:tc>
          <w:tcPr>
            <w:tcW w:w="79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3</w:t>
            </w:r>
          </w:p>
        </w:tc>
        <w:tc>
          <w:tcPr>
            <w:tcW w:w="879"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3</w:t>
            </w:r>
          </w:p>
        </w:tc>
        <w:tc>
          <w:tcPr>
            <w:tcW w:w="120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2,800</w:t>
            </w:r>
          </w:p>
        </w:tc>
        <w:tc>
          <w:tcPr>
            <w:tcW w:w="76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18.5</w:t>
            </w:r>
          </w:p>
        </w:tc>
        <w:tc>
          <w:tcPr>
            <w:tcW w:w="154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Peak Season</w:t>
            </w:r>
          </w:p>
        </w:tc>
      </w:tr>
      <w:tr w:rsidR="001C60A6" w:rsidRPr="00227BF2" w:rsidTr="00227BF2">
        <w:tc>
          <w:tcPr>
            <w:tcW w:w="4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3</w:t>
            </w:r>
          </w:p>
        </w:tc>
        <w:tc>
          <w:tcPr>
            <w:tcW w:w="184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Candi Pawon</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95,000</w:t>
            </w:r>
          </w:p>
        </w:tc>
        <w:tc>
          <w:tcPr>
            <w:tcW w:w="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4.2</w:t>
            </w:r>
          </w:p>
        </w:tc>
        <w:tc>
          <w:tcPr>
            <w:tcW w:w="79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4</w:t>
            </w:r>
          </w:p>
        </w:tc>
        <w:tc>
          <w:tcPr>
            <w:tcW w:w="87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3</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850</w:t>
            </w:r>
          </w:p>
        </w:tc>
        <w:tc>
          <w:tcPr>
            <w:tcW w:w="7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8.2</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Mid Season</w:t>
            </w:r>
          </w:p>
        </w:tc>
      </w:tr>
      <w:tr w:rsidR="001C60A6" w:rsidRPr="00227BF2" w:rsidTr="00227BF2">
        <w:tc>
          <w:tcPr>
            <w:tcW w:w="417"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4</w:t>
            </w:r>
          </w:p>
        </w:tc>
        <w:tc>
          <w:tcPr>
            <w:tcW w:w="1848"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Candi Mendut</w:t>
            </w:r>
          </w:p>
        </w:tc>
        <w:tc>
          <w:tcPr>
            <w:tcW w:w="111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125,000</w:t>
            </w:r>
          </w:p>
        </w:tc>
        <w:tc>
          <w:tcPr>
            <w:tcW w:w="8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4.3</w:t>
            </w:r>
          </w:p>
        </w:tc>
        <w:tc>
          <w:tcPr>
            <w:tcW w:w="79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4</w:t>
            </w:r>
          </w:p>
        </w:tc>
        <w:tc>
          <w:tcPr>
            <w:tcW w:w="879"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4</w:t>
            </w:r>
          </w:p>
        </w:tc>
        <w:tc>
          <w:tcPr>
            <w:tcW w:w="120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1,200</w:t>
            </w:r>
          </w:p>
        </w:tc>
        <w:tc>
          <w:tcPr>
            <w:tcW w:w="76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9.5</w:t>
            </w:r>
          </w:p>
        </w:tc>
        <w:tc>
          <w:tcPr>
            <w:tcW w:w="154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Mid Season</w:t>
            </w:r>
          </w:p>
        </w:tc>
      </w:tr>
      <w:tr w:rsidR="001C60A6" w:rsidRPr="00227BF2" w:rsidTr="00227BF2">
        <w:tc>
          <w:tcPr>
            <w:tcW w:w="4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5</w:t>
            </w:r>
          </w:p>
        </w:tc>
        <w:tc>
          <w:tcPr>
            <w:tcW w:w="184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Ketep Pass</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210,000</w:t>
            </w:r>
          </w:p>
        </w:tc>
        <w:tc>
          <w:tcPr>
            <w:tcW w:w="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4.5</w:t>
            </w:r>
          </w:p>
        </w:tc>
        <w:tc>
          <w:tcPr>
            <w:tcW w:w="79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3</w:t>
            </w:r>
          </w:p>
        </w:tc>
        <w:tc>
          <w:tcPr>
            <w:tcW w:w="87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4</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3,100</w:t>
            </w:r>
          </w:p>
        </w:tc>
        <w:tc>
          <w:tcPr>
            <w:tcW w:w="7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15.7</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Peak Season</w:t>
            </w:r>
          </w:p>
        </w:tc>
      </w:tr>
      <w:tr w:rsidR="001C60A6" w:rsidRPr="00227BF2" w:rsidTr="00227BF2">
        <w:tc>
          <w:tcPr>
            <w:tcW w:w="417"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6</w:t>
            </w:r>
          </w:p>
        </w:tc>
        <w:tc>
          <w:tcPr>
            <w:tcW w:w="1848"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Kopeng</w:t>
            </w:r>
          </w:p>
        </w:tc>
        <w:tc>
          <w:tcPr>
            <w:tcW w:w="111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98,000</w:t>
            </w:r>
          </w:p>
        </w:tc>
        <w:tc>
          <w:tcPr>
            <w:tcW w:w="8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3.8</w:t>
            </w:r>
          </w:p>
        </w:tc>
        <w:tc>
          <w:tcPr>
            <w:tcW w:w="79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3</w:t>
            </w:r>
          </w:p>
        </w:tc>
        <w:tc>
          <w:tcPr>
            <w:tcW w:w="879"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3</w:t>
            </w:r>
          </w:p>
        </w:tc>
        <w:tc>
          <w:tcPr>
            <w:tcW w:w="120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780</w:t>
            </w:r>
          </w:p>
        </w:tc>
        <w:tc>
          <w:tcPr>
            <w:tcW w:w="76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5.3</w:t>
            </w:r>
          </w:p>
        </w:tc>
        <w:tc>
          <w:tcPr>
            <w:tcW w:w="154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Low Season</w:t>
            </w:r>
          </w:p>
        </w:tc>
      </w:tr>
      <w:tr w:rsidR="001C60A6" w:rsidRPr="00227BF2" w:rsidTr="00227BF2">
        <w:tc>
          <w:tcPr>
            <w:tcW w:w="4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7</w:t>
            </w:r>
          </w:p>
        </w:tc>
        <w:tc>
          <w:tcPr>
            <w:tcW w:w="184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Air Terjun Kedung Kayang</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42,000</w:t>
            </w:r>
          </w:p>
        </w:tc>
        <w:tc>
          <w:tcPr>
            <w:tcW w:w="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4.4</w:t>
            </w:r>
          </w:p>
        </w:tc>
        <w:tc>
          <w:tcPr>
            <w:tcW w:w="79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2</w:t>
            </w:r>
          </w:p>
        </w:tc>
        <w:tc>
          <w:tcPr>
            <w:tcW w:w="87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2</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320</w:t>
            </w:r>
          </w:p>
        </w:tc>
        <w:tc>
          <w:tcPr>
            <w:tcW w:w="7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22.1</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Low Season</w:t>
            </w:r>
          </w:p>
        </w:tc>
      </w:tr>
      <w:tr w:rsidR="001C60A6" w:rsidRPr="00227BF2" w:rsidTr="00227BF2">
        <w:tc>
          <w:tcPr>
            <w:tcW w:w="417"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8</w:t>
            </w:r>
          </w:p>
        </w:tc>
        <w:tc>
          <w:tcPr>
            <w:tcW w:w="1848"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Telaga Bleder</w:t>
            </w:r>
          </w:p>
        </w:tc>
        <w:tc>
          <w:tcPr>
            <w:tcW w:w="111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35,000</w:t>
            </w:r>
          </w:p>
        </w:tc>
        <w:tc>
          <w:tcPr>
            <w:tcW w:w="8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3.9</w:t>
            </w:r>
          </w:p>
        </w:tc>
        <w:tc>
          <w:tcPr>
            <w:tcW w:w="79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2</w:t>
            </w:r>
          </w:p>
        </w:tc>
        <w:tc>
          <w:tcPr>
            <w:tcW w:w="879"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2</w:t>
            </w:r>
          </w:p>
        </w:tc>
        <w:tc>
          <w:tcPr>
            <w:tcW w:w="120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280</w:t>
            </w:r>
          </w:p>
        </w:tc>
        <w:tc>
          <w:tcPr>
            <w:tcW w:w="76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11.8</w:t>
            </w:r>
          </w:p>
        </w:tc>
        <w:tc>
          <w:tcPr>
            <w:tcW w:w="154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Low Season</w:t>
            </w:r>
          </w:p>
        </w:tc>
      </w:tr>
      <w:tr w:rsidR="001C60A6" w:rsidRPr="00227BF2" w:rsidTr="00227BF2">
        <w:tc>
          <w:tcPr>
            <w:tcW w:w="4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9</w:t>
            </w:r>
          </w:p>
        </w:tc>
        <w:tc>
          <w:tcPr>
            <w:tcW w:w="184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Bukit Rhema</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165,000</w:t>
            </w:r>
          </w:p>
        </w:tc>
        <w:tc>
          <w:tcPr>
            <w:tcW w:w="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4.6</w:t>
            </w:r>
          </w:p>
        </w:tc>
        <w:tc>
          <w:tcPr>
            <w:tcW w:w="79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3</w:t>
            </w:r>
          </w:p>
        </w:tc>
        <w:tc>
          <w:tcPr>
            <w:tcW w:w="87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3</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2,100</w:t>
            </w:r>
          </w:p>
        </w:tc>
        <w:tc>
          <w:tcPr>
            <w:tcW w:w="7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35.2</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Peak Season</w:t>
            </w:r>
          </w:p>
        </w:tc>
      </w:tr>
      <w:tr w:rsidR="001C60A6" w:rsidRPr="00227BF2" w:rsidTr="00227BF2">
        <w:tc>
          <w:tcPr>
            <w:tcW w:w="417"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10</w:t>
            </w:r>
          </w:p>
        </w:tc>
        <w:tc>
          <w:tcPr>
            <w:tcW w:w="1848"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Sawah Sukomakmur</w:t>
            </w:r>
          </w:p>
        </w:tc>
        <w:tc>
          <w:tcPr>
            <w:tcW w:w="111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28,000</w:t>
            </w:r>
          </w:p>
        </w:tc>
        <w:tc>
          <w:tcPr>
            <w:tcW w:w="8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4.1</w:t>
            </w:r>
          </w:p>
        </w:tc>
        <w:tc>
          <w:tcPr>
            <w:tcW w:w="79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2</w:t>
            </w:r>
          </w:p>
        </w:tc>
        <w:tc>
          <w:tcPr>
            <w:tcW w:w="879"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2</w:t>
            </w:r>
          </w:p>
        </w:tc>
        <w:tc>
          <w:tcPr>
            <w:tcW w:w="120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210</w:t>
            </w:r>
          </w:p>
        </w:tc>
        <w:tc>
          <w:tcPr>
            <w:tcW w:w="76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28.4</w:t>
            </w:r>
          </w:p>
        </w:tc>
        <w:tc>
          <w:tcPr>
            <w:tcW w:w="154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Low Season</w:t>
            </w:r>
          </w:p>
        </w:tc>
      </w:tr>
      <w:tr w:rsidR="001C60A6" w:rsidRPr="00227BF2" w:rsidTr="00227BF2">
        <w:tc>
          <w:tcPr>
            <w:tcW w:w="4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11</w:t>
            </w:r>
          </w:p>
        </w:tc>
        <w:tc>
          <w:tcPr>
            <w:tcW w:w="184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Museum Karmawibhangga</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87,000</w:t>
            </w:r>
          </w:p>
        </w:tc>
        <w:tc>
          <w:tcPr>
            <w:tcW w:w="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4.0</w:t>
            </w:r>
          </w:p>
        </w:tc>
        <w:tc>
          <w:tcPr>
            <w:tcW w:w="79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5</w:t>
            </w:r>
          </w:p>
        </w:tc>
        <w:tc>
          <w:tcPr>
            <w:tcW w:w="87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4</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650</w:t>
            </w:r>
          </w:p>
        </w:tc>
        <w:tc>
          <w:tcPr>
            <w:tcW w:w="7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6.1</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Mid Season</w:t>
            </w:r>
          </w:p>
        </w:tc>
      </w:tr>
      <w:tr w:rsidR="001C60A6" w:rsidRPr="00227BF2" w:rsidTr="00227BF2">
        <w:tc>
          <w:tcPr>
            <w:tcW w:w="417"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12</w:t>
            </w:r>
          </w:p>
        </w:tc>
        <w:tc>
          <w:tcPr>
            <w:tcW w:w="1848"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Taman Kyai Langgeng</w:t>
            </w:r>
          </w:p>
        </w:tc>
        <w:tc>
          <w:tcPr>
            <w:tcW w:w="111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145,000</w:t>
            </w:r>
          </w:p>
        </w:tc>
        <w:tc>
          <w:tcPr>
            <w:tcW w:w="8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3.7</w:t>
            </w:r>
          </w:p>
        </w:tc>
        <w:tc>
          <w:tcPr>
            <w:tcW w:w="79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4</w:t>
            </w:r>
          </w:p>
        </w:tc>
        <w:tc>
          <w:tcPr>
            <w:tcW w:w="879"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4</w:t>
            </w:r>
          </w:p>
        </w:tc>
        <w:tc>
          <w:tcPr>
            <w:tcW w:w="120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1,850</w:t>
            </w:r>
          </w:p>
        </w:tc>
        <w:tc>
          <w:tcPr>
            <w:tcW w:w="76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4.2</w:t>
            </w:r>
          </w:p>
        </w:tc>
        <w:tc>
          <w:tcPr>
            <w:tcW w:w="154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Mid Season</w:t>
            </w:r>
          </w:p>
        </w:tc>
      </w:tr>
      <w:tr w:rsidR="001C60A6" w:rsidRPr="00227BF2" w:rsidTr="00227BF2">
        <w:tc>
          <w:tcPr>
            <w:tcW w:w="4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13</w:t>
            </w:r>
          </w:p>
        </w:tc>
        <w:tc>
          <w:tcPr>
            <w:tcW w:w="184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Gunung Andong</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55,000</w:t>
            </w:r>
          </w:p>
        </w:tc>
        <w:tc>
          <w:tcPr>
            <w:tcW w:w="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4.5</w:t>
            </w:r>
          </w:p>
        </w:tc>
        <w:tc>
          <w:tcPr>
            <w:tcW w:w="79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2</w:t>
            </w:r>
          </w:p>
        </w:tc>
        <w:tc>
          <w:tcPr>
            <w:tcW w:w="87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2</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420</w:t>
            </w:r>
          </w:p>
        </w:tc>
        <w:tc>
          <w:tcPr>
            <w:tcW w:w="7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31.6</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Low Season</w:t>
            </w:r>
          </w:p>
        </w:tc>
      </w:tr>
      <w:tr w:rsidR="001C60A6" w:rsidRPr="00227BF2" w:rsidTr="00227BF2">
        <w:tc>
          <w:tcPr>
            <w:tcW w:w="417"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14</w:t>
            </w:r>
          </w:p>
        </w:tc>
        <w:tc>
          <w:tcPr>
            <w:tcW w:w="1848"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Umbul Songo</w:t>
            </w:r>
          </w:p>
        </w:tc>
        <w:tc>
          <w:tcPr>
            <w:tcW w:w="111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32,000</w:t>
            </w:r>
          </w:p>
        </w:tc>
        <w:tc>
          <w:tcPr>
            <w:tcW w:w="80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4.2</w:t>
            </w:r>
          </w:p>
        </w:tc>
        <w:tc>
          <w:tcPr>
            <w:tcW w:w="79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2</w:t>
            </w:r>
          </w:p>
        </w:tc>
        <w:tc>
          <w:tcPr>
            <w:tcW w:w="879"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2</w:t>
            </w:r>
          </w:p>
        </w:tc>
        <w:tc>
          <w:tcPr>
            <w:tcW w:w="120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245</w:t>
            </w:r>
          </w:p>
        </w:tc>
        <w:tc>
          <w:tcPr>
            <w:tcW w:w="76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19.8</w:t>
            </w:r>
          </w:p>
        </w:tc>
        <w:tc>
          <w:tcPr>
            <w:tcW w:w="1541"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Low Season</w:t>
            </w:r>
          </w:p>
        </w:tc>
      </w:tr>
      <w:tr w:rsidR="001C60A6" w:rsidRPr="00227BF2" w:rsidTr="00227BF2">
        <w:tc>
          <w:tcPr>
            <w:tcW w:w="4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15</w:t>
            </w:r>
          </w:p>
        </w:tc>
        <w:tc>
          <w:tcPr>
            <w:tcW w:w="1848"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Puthuk Mongkrong</w:t>
            </w:r>
          </w:p>
        </w:tc>
        <w:tc>
          <w:tcPr>
            <w:tcW w:w="111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45,000</w:t>
            </w:r>
          </w:p>
        </w:tc>
        <w:tc>
          <w:tcPr>
            <w:tcW w:w="80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4.3</w:t>
            </w:r>
          </w:p>
        </w:tc>
        <w:tc>
          <w:tcPr>
            <w:tcW w:w="79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2</w:t>
            </w:r>
          </w:p>
        </w:tc>
        <w:tc>
          <w:tcPr>
            <w:tcW w:w="879"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2</w:t>
            </w:r>
          </w:p>
        </w:tc>
        <w:tc>
          <w:tcPr>
            <w:tcW w:w="120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380</w:t>
            </w:r>
          </w:p>
        </w:tc>
        <w:tc>
          <w:tcPr>
            <w:tcW w:w="76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41.2</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Low Season</w:t>
            </w:r>
          </w:p>
        </w:tc>
      </w:tr>
    </w:tbl>
    <w:p w:rsidR="001C60A6" w:rsidRPr="00227BF2" w:rsidRDefault="001C60A6">
      <w:pPr>
        <w:spacing w:after="80"/>
      </w:pPr>
    </w:p>
    <w:p w:rsidR="001C60A6" w:rsidRPr="00227BF2" w:rsidRDefault="0009018B">
      <w:pPr>
        <w:spacing w:after="80"/>
        <w:ind w:firstLine="360"/>
        <w:jc w:val="both"/>
      </w:pPr>
      <w:r w:rsidRPr="00227BF2">
        <w:t>Table 1 reveals substantial heterogeneity across the 15 destinations. Candi Borobudur dominates with 1,250,000 annual visitors and Rp 18,500 million revenue, representing more than an order-of-magnitude difference compared to the next destinations. In contrast, emerging destinations such as Sawah Sukomakmur (28,000 visits), Umbul Songo (32,000 visits), and Telaga Bleder (35,000 visits) demonstrate low absolute visitor counts but notable YoY growth rates, indicating untapped development potential. The temporal zone classification further distinguishes destinations by seasonality pattern, with Peak Season destinations exhibiting year-round high demand while Low Season destinations show significant seasonal variation that affects planning strategies.</w:t>
      </w:r>
    </w:p>
    <w:p w:rsidR="001C60A6" w:rsidRPr="00227BF2" w:rsidRDefault="0009018B">
      <w:pPr>
        <w:spacing w:before="120" w:after="60"/>
      </w:pPr>
      <w:r w:rsidRPr="00227BF2">
        <w:rPr>
          <w:b/>
          <w:bCs/>
        </w:rPr>
        <w:t>3.2.  K-Means++ Initialization and Convergence</w:t>
      </w:r>
    </w:p>
    <w:p w:rsidR="001C60A6" w:rsidRPr="00227BF2" w:rsidRDefault="0009018B">
      <w:pPr>
        <w:spacing w:after="80"/>
        <w:ind w:firstLine="360"/>
        <w:jc w:val="both"/>
      </w:pPr>
      <w:r w:rsidRPr="00227BF2">
        <w:t>Prior to the main clustering execution, Min-Max normalization was applied to all 7 quantitative attributes. Table 1a below presents the normalized feature matrix for selected representative destinations to illustrate the transformation:</w:t>
      </w:r>
    </w:p>
    <w:p w:rsidR="001C60A6" w:rsidRPr="00227BF2" w:rsidRDefault="0009018B">
      <w:pPr>
        <w:spacing w:after="80"/>
        <w:ind w:firstLine="360"/>
        <w:jc w:val="both"/>
      </w:pPr>
      <w:r w:rsidRPr="00227BF2">
        <w:t>After normalization, K-Means++ initialization was executed following (2). The first centroid was randomly selected as destination D1 (Candi Borobudur), which has the highest multivariate feature values. The probability distribution for the second centroid selection assigned maximum weight to destinations geometrically furthest from D1 in normalized feature space. Destination D15 (Puthuk Mongkrong) was selected as the second centroid due to its high D²(x) value arising from its extreme contrast to D1 across visitor count, revenue, and facility dimensions. The third centroid was assigned to D5 (Ketep Pass) based on its intermediate feature profile and maximum minimum-distance from the two existing centroids.</w:t>
      </w:r>
    </w:p>
    <w:p w:rsidR="001C60A6" w:rsidRPr="00227BF2" w:rsidRDefault="0009018B">
      <w:pPr>
        <w:spacing w:after="80"/>
        <w:ind w:firstLine="360"/>
        <w:jc w:val="both"/>
      </w:pPr>
      <w:r w:rsidRPr="00227BF2">
        <w:t>The K-Means++ algorithm then iterated the assignment and centroid update steps per equations (3)–(5). Table 2a (below) summarizes the centroid evolution across iterations:</w:t>
      </w:r>
    </w:p>
    <w:p w:rsidR="001C60A6" w:rsidRPr="00227BF2" w:rsidRDefault="00866CF7">
      <w:pPr>
        <w:spacing w:before="80" w:after="80"/>
        <w:jc w:val="center"/>
      </w:pPr>
      <w:r>
        <w:rPr>
          <w:b/>
          <w:bCs/>
        </w:rPr>
        <w:t>Table 2</w:t>
      </w:r>
      <w:r w:rsidR="0009018B" w:rsidRPr="00227BF2">
        <w:rPr>
          <w:b/>
          <w:bCs/>
        </w:rPr>
        <w:t>. K-Means++ Centroid Evolution Across Iterations (Selected Normalized Attributes)</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1"/>
        <w:gridCol w:w="1203"/>
        <w:gridCol w:w="1202"/>
        <w:gridCol w:w="1093"/>
        <w:gridCol w:w="1202"/>
        <w:gridCol w:w="1202"/>
        <w:gridCol w:w="1202"/>
        <w:gridCol w:w="1121"/>
      </w:tblGrid>
      <w:tr w:rsidR="001C60A6" w:rsidRPr="00227BF2">
        <w:tc>
          <w:tcPr>
            <w:tcW w:w="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Iter.</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C1: Visits</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 xml:space="preserve">C1: </w:t>
            </w:r>
            <w:r w:rsidRPr="00227BF2">
              <w:rPr>
                <w:b/>
                <w:bCs/>
              </w:rPr>
              <w:lastRenderedPageBreak/>
              <w:t>Revenue</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lastRenderedPageBreak/>
              <w:t>C2: Visits</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 xml:space="preserve">C2: </w:t>
            </w:r>
            <w:r w:rsidRPr="00227BF2">
              <w:rPr>
                <w:b/>
                <w:bCs/>
              </w:rPr>
              <w:lastRenderedPageBreak/>
              <w:t>Revenue</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lastRenderedPageBreak/>
              <w:t>C3: Visits</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 xml:space="preserve">C3: </w:t>
            </w:r>
            <w:r w:rsidRPr="00227BF2">
              <w:rPr>
                <w:b/>
                <w:bCs/>
              </w:rPr>
              <w:lastRenderedPageBreak/>
              <w:t>Revenue</w:t>
            </w:r>
          </w:p>
        </w:tc>
        <w:tc>
          <w:tcPr>
            <w:tcW w:w="10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lastRenderedPageBreak/>
              <w:t>Max Δ</w:t>
            </w:r>
          </w:p>
        </w:tc>
      </w:tr>
      <w:tr w:rsidR="001C60A6" w:rsidRPr="00227BF2">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lastRenderedPageBreak/>
              <w:t>Init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1.000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1.000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0.013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0.011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0.150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0.149</w:t>
            </w:r>
          </w:p>
        </w:tc>
        <w:tc>
          <w:tcPr>
            <w:tcW w:w="10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w:t>
            </w:r>
          </w:p>
        </w:tc>
      </w:tr>
      <w:tr w:rsidR="001C60A6" w:rsidRPr="00227BF2">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1.000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1.000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0.044</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0.033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0.132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0.127</w:t>
            </w:r>
          </w:p>
        </w:tc>
        <w:tc>
          <w:tcPr>
            <w:tcW w:w="10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0.0442</w:t>
            </w:r>
          </w:p>
        </w:tc>
      </w:tr>
      <w:tr w:rsidR="001C60A6" w:rsidRPr="00227BF2">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2</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1.000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1.000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0.047</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0.036</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0.129</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0.122</w:t>
            </w:r>
          </w:p>
        </w:tc>
        <w:tc>
          <w:tcPr>
            <w:tcW w:w="10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0.0061</w:t>
            </w:r>
          </w:p>
        </w:tc>
      </w:tr>
      <w:tr w:rsidR="001C60A6" w:rsidRPr="00227BF2">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3</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1.000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1.000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0.048</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0.037</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0.128</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0.121</w:t>
            </w:r>
          </w:p>
        </w:tc>
        <w:tc>
          <w:tcPr>
            <w:tcW w:w="10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0.0009</w:t>
            </w:r>
          </w:p>
        </w:tc>
      </w:tr>
      <w:tr w:rsidR="001C60A6" w:rsidRPr="00227BF2">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4</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1.000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1.000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0.048</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0.037</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0.127</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0.120</w:t>
            </w:r>
          </w:p>
        </w:tc>
        <w:tc>
          <w:tcPr>
            <w:tcW w:w="10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0.0001</w:t>
            </w:r>
          </w:p>
        </w:tc>
      </w:tr>
      <w:tr w:rsidR="001C60A6" w:rsidRPr="00227BF2">
        <w:tc>
          <w:tcPr>
            <w:tcW w:w="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5 (conv.)</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1.000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1.000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0.048</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0.037</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0.127</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0.120</w:t>
            </w:r>
          </w:p>
        </w:tc>
        <w:tc>
          <w:tcPr>
            <w:tcW w:w="10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&lt;ε</w:t>
            </w:r>
          </w:p>
        </w:tc>
      </w:tr>
    </w:tbl>
    <w:p w:rsidR="001C60A6" w:rsidRPr="00227BF2" w:rsidRDefault="001C60A6">
      <w:pPr>
        <w:spacing w:after="80"/>
      </w:pPr>
    </w:p>
    <w:p w:rsidR="001C60A6" w:rsidRPr="00227BF2" w:rsidRDefault="0009018B">
      <w:pPr>
        <w:spacing w:after="80"/>
        <w:ind w:firstLine="360"/>
        <w:jc w:val="both"/>
      </w:pPr>
      <w:r w:rsidRPr="00227BF2">
        <w:t>The algorithm converged after 5 iterations with maximum centroid shift Δ = 0.0001 &lt; ε, satisfying the stopping criterion in (5). Cluster 1 stabilized with a single member (Candi Borobudur) due to its extreme multivariate distance from all other destinations. Cluster 2 (Berkembang) consolidated 8 destinations with moderate-to-low visitor counts but variable growth trajectories. Cluster 3 (Potensial) captured 6 destinations characterized by relatively higher brand recognition or unique attraction types combined with low current infrastructure.</w:t>
      </w:r>
    </w:p>
    <w:p w:rsidR="001C60A6" w:rsidRPr="00227BF2" w:rsidRDefault="0009018B">
      <w:pPr>
        <w:spacing w:before="120" w:after="60"/>
      </w:pPr>
      <w:r w:rsidRPr="00227BF2">
        <w:rPr>
          <w:b/>
          <w:bCs/>
        </w:rPr>
        <w:t>3.3.  K-Means++ Clustering Results</w:t>
      </w:r>
    </w:p>
    <w:p w:rsidR="001C60A6" w:rsidRPr="00227BF2" w:rsidRDefault="00866CF7">
      <w:pPr>
        <w:spacing w:before="80" w:after="80"/>
        <w:jc w:val="center"/>
      </w:pPr>
      <w:r>
        <w:rPr>
          <w:b/>
          <w:bCs/>
        </w:rPr>
        <w:t>Table 3</w:t>
      </w:r>
      <w:r w:rsidR="0009018B" w:rsidRPr="00227BF2">
        <w:rPr>
          <w:b/>
          <w:bCs/>
        </w:rPr>
        <w:t>. K-Means++ Clustering Results for Magelang Regency Tourist Destinations</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9"/>
        <w:gridCol w:w="799"/>
        <w:gridCol w:w="1271"/>
        <w:gridCol w:w="1016"/>
        <w:gridCol w:w="4341"/>
      </w:tblGrid>
      <w:tr w:rsidR="001C60A6" w:rsidRPr="00227BF2">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r w:rsidRPr="00227BF2">
              <w:rPr>
                <w:b/>
                <w:bCs/>
              </w:rPr>
              <w:t>Destination</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r w:rsidRPr="00227BF2">
              <w:rPr>
                <w:b/>
                <w:bCs/>
              </w:rPr>
              <w:t>Cluster</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r w:rsidRPr="00227BF2">
              <w:rPr>
                <w:b/>
                <w:bCs/>
              </w:rPr>
              <w:t>Label</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r w:rsidRPr="00227BF2">
              <w:rPr>
                <w:b/>
                <w:bCs/>
              </w:rPr>
              <w:t>Silhouette Score</w:t>
            </w:r>
          </w:p>
        </w:tc>
        <w:tc>
          <w:tcPr>
            <w:tcW w:w="46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r w:rsidRPr="00227BF2">
              <w:rPr>
                <w:b/>
                <w:bCs/>
              </w:rPr>
              <w:t>Development Recommendation</w:t>
            </w:r>
          </w:p>
        </w:tc>
      </w:tr>
      <w:tr w:rsidR="001C60A6" w:rsidRPr="00227BF2">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Candi Borobudur</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Unggulan (Outstanding)</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0.944</w:t>
            </w:r>
          </w:p>
        </w:tc>
        <w:tc>
          <w:tcPr>
            <w:tcW w:w="46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International infrastructure upgrade &amp; multi-channel digital promotion</w:t>
            </w:r>
          </w:p>
        </w:tc>
      </w:tr>
      <w:tr w:rsidR="001C60A6" w:rsidRPr="00227BF2">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Punthuk Setumbu</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3</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Potensial (Potential)</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0.726</w:t>
            </w:r>
          </w:p>
        </w:tc>
        <w:tc>
          <w:tcPr>
            <w:tcW w:w="46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Digital exploration corridor &amp; staged infrastructure investment</w:t>
            </w:r>
          </w:p>
        </w:tc>
      </w:tr>
      <w:tr w:rsidR="001C60A6" w:rsidRPr="00227BF2">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Candi Pawon</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Potensial (Potential)</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0.666</w:t>
            </w:r>
          </w:p>
        </w:tc>
        <w:tc>
          <w:tcPr>
            <w:tcW w:w="46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Road accessibility upgrade &amp; eco-cultural tourism packaging</w:t>
            </w:r>
          </w:p>
        </w:tc>
      </w:tr>
      <w:tr w:rsidR="001C60A6" w:rsidRPr="00227BF2">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Candi Mendut</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3</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Potensial (Potential)</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0.694</w:t>
            </w:r>
          </w:p>
        </w:tc>
        <w:tc>
          <w:tcPr>
            <w:tcW w:w="46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Cultural heritage package bundling with Candi Borobudur circuit</w:t>
            </w:r>
          </w:p>
        </w:tc>
      </w:tr>
      <w:tr w:rsidR="001C60A6" w:rsidRPr="00227BF2">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Ketep Pass</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Berkembang (Developing)</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0.708</w:t>
            </w:r>
          </w:p>
        </w:tc>
        <w:tc>
          <w:tcPr>
            <w:tcW w:w="46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Facility expansion, signage, trained local guide program</w:t>
            </w:r>
          </w:p>
        </w:tc>
      </w:tr>
      <w:tr w:rsidR="001C60A6" w:rsidRPr="00227BF2">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Kopeng</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2</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Berkembang (Developing)</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0.566</w:t>
            </w:r>
          </w:p>
        </w:tc>
        <w:tc>
          <w:tcPr>
            <w:tcW w:w="46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Lodging facility standards upgrade &amp; marketing diversification</w:t>
            </w:r>
          </w:p>
        </w:tc>
      </w:tr>
      <w:tr w:rsidR="001C60A6" w:rsidRPr="00227BF2">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Air Terjun Kedung Kayang</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Berkembang (Developing)</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0.582</w:t>
            </w:r>
          </w:p>
        </w:tc>
        <w:tc>
          <w:tcPr>
            <w:tcW w:w="46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Trail safety infrastructure &amp; seasonal promotion campaigns</w:t>
            </w:r>
          </w:p>
        </w:tc>
      </w:tr>
      <w:tr w:rsidR="001C60A6" w:rsidRPr="00227BF2">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Telaga Bleder</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2</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Berkembang (Developing)</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0.517</w:t>
            </w:r>
          </w:p>
        </w:tc>
        <w:tc>
          <w:tcPr>
            <w:tcW w:w="46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Water recreation facility development &amp; online visibility boost</w:t>
            </w:r>
          </w:p>
        </w:tc>
      </w:tr>
      <w:tr w:rsidR="001C60A6" w:rsidRPr="00227BF2">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Bukit Rhema</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Potensial (Potential)</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0.676</w:t>
            </w:r>
          </w:p>
        </w:tc>
        <w:tc>
          <w:tcPr>
            <w:tcW w:w="46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Social media digital promotion &amp; hospitality training programs</w:t>
            </w:r>
          </w:p>
        </w:tc>
      </w:tr>
      <w:tr w:rsidR="001C60A6" w:rsidRPr="00227BF2">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Sawah Sukomakmur</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2</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Berkembang (Developing)</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0.597</w:t>
            </w:r>
          </w:p>
        </w:tc>
        <w:tc>
          <w:tcPr>
            <w:tcW w:w="46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Agro-tourism development &amp; community-based management model</w:t>
            </w:r>
          </w:p>
        </w:tc>
      </w:tr>
      <w:tr w:rsidR="001C60A6" w:rsidRPr="00227BF2">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Museum Karmawibhangga</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3</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Potensial (Potential)</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0.665</w:t>
            </w:r>
          </w:p>
        </w:tc>
        <w:tc>
          <w:tcPr>
            <w:tcW w:w="46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Interactive exhibit investment &amp; school group institutional partnerships</w:t>
            </w:r>
          </w:p>
        </w:tc>
      </w:tr>
      <w:tr w:rsidR="001C60A6" w:rsidRPr="00227BF2">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Taman Kyai Langgeng</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3</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Potensial (Potential)</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0.609</w:t>
            </w:r>
          </w:p>
        </w:tc>
        <w:tc>
          <w:tcPr>
            <w:tcW w:w="46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Family-oriented eco-tourism zone &amp; entrance experience renewal</w:t>
            </w:r>
          </w:p>
        </w:tc>
      </w:tr>
      <w:tr w:rsidR="001C60A6" w:rsidRPr="00227BF2">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Gunung Andong</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Berkembang (Developing)</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0.588</w:t>
            </w:r>
          </w:p>
        </w:tc>
        <w:tc>
          <w:tcPr>
            <w:tcW w:w="46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Trekking infrastructure &amp; environmentally certified adventure tourism</w:t>
            </w:r>
          </w:p>
        </w:tc>
      </w:tr>
      <w:tr w:rsidR="001C60A6" w:rsidRPr="00227BF2">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Umbul Songo</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2</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Berkembang (Developing)</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0.572</w:t>
            </w:r>
          </w:p>
        </w:tc>
        <w:tc>
          <w:tcPr>
            <w:tcW w:w="46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Hot spring wellness tourism packaging &amp; regional promotion coordination</w:t>
            </w:r>
          </w:p>
        </w:tc>
      </w:tr>
      <w:tr w:rsidR="001C60A6" w:rsidRPr="00227BF2">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Puthuk Mongkrong</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Berkembang (Developing)</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0.638</w:t>
            </w:r>
          </w:p>
        </w:tc>
        <w:tc>
          <w:tcPr>
            <w:tcW w:w="46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Sunrise viewpoint amenity development &amp; photography tourism promotion</w:t>
            </w:r>
          </w:p>
        </w:tc>
      </w:tr>
    </w:tbl>
    <w:p w:rsidR="001C60A6" w:rsidRPr="00227BF2" w:rsidRDefault="001C60A6">
      <w:pPr>
        <w:spacing w:after="80"/>
      </w:pPr>
    </w:p>
    <w:p w:rsidR="001C60A6" w:rsidRPr="00227BF2" w:rsidRDefault="0009018B">
      <w:pPr>
        <w:spacing w:after="80"/>
        <w:ind w:firstLine="360"/>
        <w:jc w:val="both"/>
      </w:pPr>
      <w:r w:rsidRPr="00227BF2">
        <w:lastRenderedPageBreak/>
        <w:t>Cluster 1 (Outstanding/Unggulan) contains solely Candi Borobudur with a silhouette score of 0.944, reflecting its extreme isolation in multivariate feature space. This destination's UNESCO World Heritage status, international brand recognition, superior infrastructure, and mass visitor flow collectively position it in a distinct strategic tier that cannot be meaningfully grouped with other regional destinations in the current dataset.</w:t>
      </w:r>
    </w:p>
    <w:p w:rsidR="001C60A6" w:rsidRPr="00227BF2" w:rsidRDefault="0009018B">
      <w:pPr>
        <w:spacing w:after="80"/>
        <w:ind w:firstLine="360"/>
        <w:jc w:val="both"/>
      </w:pPr>
      <w:r w:rsidRPr="00227BF2">
        <w:t>Cluster 2 (Developing/Berkembang) comprises 8 destinations including Ketep Pass, Kopeng, Air Terjun Kedung Kayang, Telaga Bleder, Sawah Sukomakmur, Gunung Andong, Umbul Songo, and Puthuk Mongkrong. These destinations share profiles characterized by moderate accessibility scores (2–3), limited facility development, low-to-mid season temporal zones, and variable but often substantial YoY growth rates (ranging from 5.3% to 41.2%). The high growth rates in this cluster represent the primary near-term development opportunity for regency tourism policy.</w:t>
      </w:r>
    </w:p>
    <w:p w:rsidR="001C60A6" w:rsidRPr="00227BF2" w:rsidRDefault="0009018B">
      <w:pPr>
        <w:spacing w:after="80"/>
        <w:ind w:firstLine="360"/>
        <w:jc w:val="both"/>
      </w:pPr>
      <w:r w:rsidRPr="00227BF2">
        <w:t>Cluster 3 (Potential/Potensial) contains 6 destinations: Punthuk Setumbu, Candi Pawon, Candi Mendut, Bukit Rhema, Museum Karmawibhangga, and Taman Kyai Langgeng. These destinations exhibit higher visitor counts than Cluster 2 (ranging from 87,000 to 185,000 annually), higher quality ratings (3.7–4.7), but moderate-to-limited facility and accessibility scores. Their proximity to Candi Borobudur within the Borobudur cultural corridor provides natural bundling opportunities for circuit-based tourism packages.</w:t>
      </w:r>
    </w:p>
    <w:p w:rsidR="001C60A6" w:rsidRPr="00227BF2" w:rsidRDefault="0009018B">
      <w:pPr>
        <w:spacing w:before="120" w:after="60"/>
      </w:pPr>
      <w:r w:rsidRPr="00227BF2">
        <w:rPr>
          <w:b/>
          <w:bCs/>
        </w:rPr>
        <w:t>3.4.  Model Validation</w:t>
      </w:r>
    </w:p>
    <w:p w:rsidR="001C60A6" w:rsidRPr="00227BF2" w:rsidRDefault="0009018B">
      <w:pPr>
        <w:spacing w:before="80" w:after="80"/>
        <w:jc w:val="center"/>
      </w:pPr>
      <w:r w:rsidRPr="00227BF2">
        <w:rPr>
          <w:b/>
          <w:bCs/>
        </w:rPr>
        <w:t xml:space="preserve">Table </w:t>
      </w:r>
      <w:r w:rsidR="00866CF7">
        <w:rPr>
          <w:b/>
          <w:bCs/>
        </w:rPr>
        <w:t>4</w:t>
      </w:r>
      <w:r w:rsidRPr="00227BF2">
        <w:rPr>
          <w:b/>
          <w:bCs/>
        </w:rPr>
        <w:t>. Cluster Validation Metrics Summary</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900"/>
        <w:gridCol w:w="1200"/>
        <w:gridCol w:w="900"/>
        <w:gridCol w:w="4226"/>
      </w:tblGrid>
      <w:tr w:rsidR="001C60A6" w:rsidRPr="00227BF2">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r w:rsidRPr="00227BF2">
              <w:rPr>
                <w:b/>
                <w:bCs/>
              </w:rPr>
              <w:t>Metric</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r w:rsidRPr="00227BF2">
              <w:rPr>
                <w:b/>
                <w:bCs/>
              </w:rPr>
              <w:t>Value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Threshold</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Status</w:t>
            </w:r>
          </w:p>
        </w:tc>
        <w:tc>
          <w:tcPr>
            <w:tcW w:w="42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Interpretation</w:t>
            </w:r>
          </w:p>
        </w:tc>
      </w:tr>
      <w:tr w:rsidR="001C60A6" w:rsidRPr="00227BF2">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Silhouette Coefficient (SC)</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0.500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&gt; 0.5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Good</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Adequate intra-cluster cohesion; cluster assignments broadly appropriate</w:t>
            </w:r>
          </w:p>
        </w:tc>
      </w:tr>
      <w:tr w:rsidR="001C60A6" w:rsidRPr="00227BF2">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Davies-Bouldin Index (DBI)</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 w:rsidRPr="00227BF2">
              <w:t>0.893</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&lt; 1.0</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Good</w:t>
            </w:r>
          </w:p>
        </w:tc>
        <w:tc>
          <w:tcPr>
            <w:tcW w:w="42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Acceptable inter-cluster separation relative to intra-cluster spread</w:t>
            </w:r>
          </w:p>
        </w:tc>
      </w:tr>
      <w:tr w:rsidR="001C60A6" w:rsidRPr="00227BF2">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Calinski-Harabasz Index (CHI)</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 w:rsidRPr="00227BF2">
              <w:t>7.051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&gt; 100*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Note*</w:t>
            </w:r>
          </w:p>
        </w:tc>
        <w:tc>
          <w:tcPr>
            <w:tcW w:w="42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Low due to small dataset (N=15) and single-member Cluster 1 dominance</w:t>
            </w:r>
          </w:p>
        </w:tc>
      </w:tr>
    </w:tbl>
    <w:p w:rsidR="001C60A6" w:rsidRPr="00227BF2" w:rsidRDefault="001C60A6">
      <w:pPr>
        <w:spacing w:after="80"/>
      </w:pPr>
    </w:p>
    <w:p w:rsidR="001C60A6" w:rsidRPr="00227BF2" w:rsidRDefault="0009018B">
      <w:pPr>
        <w:spacing w:after="80"/>
        <w:ind w:firstLine="360"/>
        <w:jc w:val="both"/>
      </w:pPr>
      <w:r w:rsidRPr="00227BF2">
        <w:t>Validation results are summarized in Table 3. The Silhouette Coefficient (SC = 0.500) meets the acceptable threshold (≥ 0.5), confirming that, on average, destinations are more similar to members within their own cluster than to destinations in neighboring clusters. The individual silhouette scores in Table 2 range from 0.517 (Telaga Bleder) to 0.944 (Candi Borobudur), with no negative values, indicating no evidently misclassified destinations.</w:t>
      </w:r>
    </w:p>
    <w:p w:rsidR="001C60A6" w:rsidRPr="00227BF2" w:rsidRDefault="0009018B">
      <w:pPr>
        <w:spacing w:after="80"/>
        <w:ind w:firstLine="360"/>
        <w:jc w:val="both"/>
      </w:pPr>
      <w:r w:rsidRPr="00227BF2">
        <w:t>The Davies-Bouldin Index (DBI = 0.893 &lt; 1.0) satisfies the quality criterion, confirming adequate inter-cluster separation relative to intra-cluster compactness. Specifically, using (8), the maximum DBI pairwise ratio observed between Cluster 2 and Cluster 3 was 0.853, reflecting the moderate overlap between Berkembang and Potensial destinations in certain attribute dimensions (notably rating and facility scores), which is contextually valid given that these categories represent sequential development stages rather than fundamentally distinct types.</w:t>
      </w:r>
    </w:p>
    <w:p w:rsidR="001C60A6" w:rsidRPr="00227BF2" w:rsidRDefault="0009018B">
      <w:pPr>
        <w:spacing w:after="80"/>
        <w:ind w:firstLine="360"/>
        <w:jc w:val="both"/>
      </w:pPr>
      <w:r w:rsidRPr="00227BF2">
        <w:t>The Calinski-Harabasz Index (CHI = 7.051) falls below the conventional threshold of 100, which is attributable to the small dataset size (N = 15) and the single-member dominance of Cluster 1. The CHI metric is highly sensitive to sample size because the between-cluster sum of squares (SS_B) per (9) is computed across only N = 15 points, limiting the statistical power of the ratio. This limitation is acknowledged and does not contraindicate the clustering validity evidenced by SC and DBI results.</w:t>
      </w:r>
    </w:p>
    <w:p w:rsidR="001C60A6" w:rsidRPr="00227BF2" w:rsidRDefault="0009018B">
      <w:pPr>
        <w:spacing w:before="120" w:after="60"/>
      </w:pPr>
      <w:r w:rsidRPr="00227BF2">
        <w:rPr>
          <w:b/>
          <w:bCs/>
        </w:rPr>
        <w:t>3.5.  Spatio-Temporal Analysis</w:t>
      </w:r>
    </w:p>
    <w:p w:rsidR="001C60A6" w:rsidRPr="00227BF2" w:rsidRDefault="0009018B">
      <w:pPr>
        <w:spacing w:before="80" w:after="80"/>
        <w:jc w:val="center"/>
      </w:pPr>
      <w:r w:rsidRPr="00227BF2">
        <w:rPr>
          <w:b/>
          <w:bCs/>
        </w:rPr>
        <w:t xml:space="preserve">Table </w:t>
      </w:r>
      <w:r w:rsidR="00866CF7">
        <w:rPr>
          <w:b/>
          <w:bCs/>
        </w:rPr>
        <w:t>5</w:t>
      </w:r>
      <w:r w:rsidRPr="00227BF2">
        <w:rPr>
          <w:b/>
          <w:bCs/>
        </w:rPr>
        <w:t>. Spatial Summary by Cluster</w:t>
      </w:r>
    </w:p>
    <w:tbl>
      <w:tblPr>
        <w:tblW w:w="936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4"/>
        <w:gridCol w:w="296"/>
        <w:gridCol w:w="1200"/>
        <w:gridCol w:w="900"/>
        <w:gridCol w:w="1400"/>
        <w:gridCol w:w="800"/>
        <w:gridCol w:w="2066"/>
      </w:tblGrid>
      <w:tr w:rsidR="001C60A6" w:rsidRPr="00227BF2" w:rsidTr="00866CF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Cluster</w:t>
            </w:r>
          </w:p>
        </w:tc>
        <w:tc>
          <w:tcPr>
            <w:tcW w:w="1804"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Label</w:t>
            </w:r>
          </w:p>
        </w:tc>
        <w:tc>
          <w:tcPr>
            <w:tcW w:w="29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Avg Visits/Year</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Avg Rating</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Avg Revenue (Jt Rp)</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Avg YoY</w:t>
            </w:r>
          </w:p>
        </w:tc>
        <w:tc>
          <w:tcPr>
            <w:tcW w:w="206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Dominant Zone</w:t>
            </w:r>
          </w:p>
        </w:tc>
      </w:tr>
      <w:tr w:rsidR="001C60A6" w:rsidRPr="00227BF2" w:rsidTr="00866CF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w:t>
            </w:r>
          </w:p>
        </w:tc>
        <w:tc>
          <w:tcPr>
            <w:tcW w:w="18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sidP="00866CF7">
            <w:r w:rsidRPr="00227BF2">
              <w:t>Unggulan (Outstanding)</w:t>
            </w:r>
          </w:p>
        </w:tc>
        <w:tc>
          <w:tcPr>
            <w:tcW w:w="2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1,250,000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4.90</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18,500.0</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12.3%</w:t>
            </w:r>
          </w:p>
        </w:tc>
        <w:tc>
          <w:tcPr>
            <w:tcW w:w="206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Peak Season</w:t>
            </w:r>
          </w:p>
        </w:tc>
      </w:tr>
      <w:tr w:rsidR="001C60A6" w:rsidRPr="00227BF2" w:rsidTr="00866CF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2</w:t>
            </w:r>
          </w:p>
        </w:tc>
        <w:tc>
          <w:tcPr>
            <w:tcW w:w="1804"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rsidP="00866CF7">
            <w:r w:rsidRPr="00227BF2">
              <w:t>Berkembang (Developing)</w:t>
            </w:r>
          </w:p>
        </w:tc>
        <w:tc>
          <w:tcPr>
            <w:tcW w:w="29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8</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68,125</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4.21</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716.9</w:t>
            </w:r>
          </w:p>
        </w:tc>
        <w:tc>
          <w:tcPr>
            <w:tcW w:w="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21.9%</w:t>
            </w:r>
          </w:p>
        </w:tc>
        <w:tc>
          <w:tcPr>
            <w:tcW w:w="206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Mid/Low Season</w:t>
            </w:r>
          </w:p>
        </w:tc>
      </w:tr>
      <w:tr w:rsidR="001C60A6" w:rsidRPr="00227BF2" w:rsidTr="00866CF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3</w:t>
            </w:r>
          </w:p>
        </w:tc>
        <w:tc>
          <w:tcPr>
            <w:tcW w:w="1804"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sidP="00866CF7">
            <w:r w:rsidRPr="00227BF2">
              <w:t>Potensial (Potential)</w:t>
            </w:r>
          </w:p>
        </w:tc>
        <w:tc>
          <w:tcPr>
            <w:tcW w:w="29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133,667</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4.25</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1,575.0</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13.6%</w:t>
            </w:r>
          </w:p>
        </w:tc>
        <w:tc>
          <w:tcPr>
            <w:tcW w:w="206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Low/Peak Season</w:t>
            </w:r>
          </w:p>
        </w:tc>
      </w:tr>
    </w:tbl>
    <w:p w:rsidR="001C60A6" w:rsidRPr="00227BF2" w:rsidRDefault="001C60A6">
      <w:pPr>
        <w:spacing w:after="80"/>
      </w:pPr>
    </w:p>
    <w:p w:rsidR="001C60A6" w:rsidRPr="00227BF2" w:rsidRDefault="0009018B">
      <w:pPr>
        <w:spacing w:after="80"/>
        <w:ind w:firstLine="360"/>
        <w:jc w:val="both"/>
      </w:pPr>
      <w:r w:rsidRPr="00227BF2">
        <w:t xml:space="preserve">Table 4 presents the spatial summary by cluster. Cluster 2 (Berkembang) demonstrates the highest average YoY growth rate (21.9%), exceeding both Cluster 1 (12.3%) and Cluster 3 (13.6%), indicating that developing destinations are collectively experiencing accelerating visitor demand. However, this cluster also exhibits the lowest </w:t>
      </w:r>
      <w:r w:rsidRPr="00227BF2">
        <w:lastRenderedPageBreak/>
        <w:t>average revenue (Rp 716.9 million), confirming that revenue conversion efficiency lags behind visitor growth — a structural gap addressable through facility investment and monetization strategy.</w:t>
      </w:r>
    </w:p>
    <w:p w:rsidR="001C60A6" w:rsidRPr="00227BF2" w:rsidRDefault="00866CF7">
      <w:pPr>
        <w:spacing w:before="80" w:after="80"/>
        <w:jc w:val="center"/>
      </w:pPr>
      <w:r>
        <w:rPr>
          <w:b/>
          <w:bCs/>
        </w:rPr>
        <w:t>Table 6</w:t>
      </w:r>
      <w:r w:rsidR="0009018B" w:rsidRPr="00227BF2">
        <w:rPr>
          <w:b/>
          <w:bCs/>
        </w:rPr>
        <w:t>. Temporal Visitor Projection Analysis (2024–2027) for Selected Destinations</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8"/>
        <w:gridCol w:w="847"/>
        <w:gridCol w:w="1024"/>
        <w:gridCol w:w="747"/>
        <w:gridCol w:w="1024"/>
        <w:gridCol w:w="1024"/>
        <w:gridCol w:w="1024"/>
        <w:gridCol w:w="1948"/>
      </w:tblGrid>
      <w:tr w:rsidR="001C60A6" w:rsidRPr="00227BF2">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Destination</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Cluster</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Visits 2024</w:t>
            </w:r>
          </w:p>
        </w:tc>
        <w:tc>
          <w:tcPr>
            <w:tcW w:w="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YoY (%)</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Proj. 2025</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Proj. 2026</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Proj. 2027</w:t>
            </w:r>
          </w:p>
        </w:tc>
        <w:tc>
          <w:tcPr>
            <w:tcW w:w="18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Growth Category</w:t>
            </w:r>
          </w:p>
        </w:tc>
      </w:tr>
      <w:tr w:rsidR="001C60A6" w:rsidRPr="00227BF2">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Candi Borobudur</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1,250,000</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12.3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1,403,750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1,576,411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1,770,310</w:t>
            </w:r>
          </w:p>
        </w:tc>
        <w:tc>
          <w:tcPr>
            <w:tcW w:w="18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Moderate Growth</w:t>
            </w:r>
          </w:p>
        </w:tc>
      </w:tr>
      <w:tr w:rsidR="001C60A6" w:rsidRPr="00227BF2">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Punthuk Setumbu</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3</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185,000</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18.5</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219,225</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259,782</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307,842</w:t>
            </w:r>
          </w:p>
        </w:tc>
        <w:tc>
          <w:tcPr>
            <w:tcW w:w="18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Fast Growth</w:t>
            </w:r>
          </w:p>
        </w:tc>
      </w:tr>
      <w:tr w:rsidR="001C60A6" w:rsidRPr="00227BF2">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Ketep Pass</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210,000</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15.7</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242,970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281,116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325,251</w:t>
            </w:r>
          </w:p>
        </w:tc>
        <w:tc>
          <w:tcPr>
            <w:tcW w:w="18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Fast Growth</w:t>
            </w:r>
          </w:p>
        </w:tc>
      </w:tr>
      <w:tr w:rsidR="001C60A6" w:rsidRPr="00227BF2">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Bukit Rhema</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3</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165,000</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35.2</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223,080</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301,604</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407,769</w:t>
            </w:r>
          </w:p>
        </w:tc>
        <w:tc>
          <w:tcPr>
            <w:tcW w:w="18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Very Fast Growth</w:t>
            </w:r>
          </w:p>
        </w:tc>
      </w:tr>
      <w:tr w:rsidR="001C60A6" w:rsidRPr="00227BF2">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Gunung Andong</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55,000</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31.6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72,380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95,252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125,352</w:t>
            </w:r>
          </w:p>
        </w:tc>
        <w:tc>
          <w:tcPr>
            <w:tcW w:w="18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Very Fast Growth</w:t>
            </w:r>
          </w:p>
        </w:tc>
      </w:tr>
      <w:tr w:rsidR="001C60A6" w:rsidRPr="00227BF2">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Puthuk Mongkrong</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2</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45,000</w:t>
            </w:r>
          </w:p>
        </w:tc>
        <w:tc>
          <w:tcPr>
            <w:tcW w:w="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41.2</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63,540</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89,718</w:t>
            </w:r>
          </w:p>
        </w:tc>
        <w:tc>
          <w:tcPr>
            <w:tcW w:w="9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126,682</w:t>
            </w:r>
          </w:p>
        </w:tc>
        <w:tc>
          <w:tcPr>
            <w:tcW w:w="18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80" w:type="dxa"/>
              <w:bottom w:w="40" w:type="dxa"/>
              <w:right w:w="80" w:type="dxa"/>
            </w:tcMar>
            <w:vAlign w:val="center"/>
          </w:tcPr>
          <w:p w:rsidR="001C60A6" w:rsidRPr="00227BF2" w:rsidRDefault="0009018B">
            <w:pPr>
              <w:jc w:val="center"/>
            </w:pPr>
            <w:r w:rsidRPr="00227BF2">
              <w:t>Very Fast Growth</w:t>
            </w:r>
          </w:p>
        </w:tc>
      </w:tr>
      <w:tr w:rsidR="001C60A6" w:rsidRPr="00227BF2">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Taman Kyai Langgeng</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145,000</w:t>
            </w:r>
          </w:p>
        </w:tc>
        <w:tc>
          <w:tcPr>
            <w:tcW w:w="7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4.2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151,090</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157,436</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164,048</w:t>
            </w:r>
          </w:p>
        </w:tc>
        <w:tc>
          <w:tcPr>
            <w:tcW w:w="1826"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t>Slow Growth</w:t>
            </w:r>
          </w:p>
        </w:tc>
      </w:tr>
    </w:tbl>
    <w:p w:rsidR="001C60A6" w:rsidRPr="00227BF2" w:rsidRDefault="001C60A6">
      <w:pPr>
        <w:spacing w:after="80"/>
      </w:pPr>
    </w:p>
    <w:p w:rsidR="001C60A6" w:rsidRPr="00227BF2" w:rsidRDefault="0009018B">
      <w:pPr>
        <w:spacing w:after="80"/>
        <w:ind w:firstLine="360"/>
        <w:jc w:val="both"/>
      </w:pPr>
      <w:r w:rsidRPr="00227BF2">
        <w:t>Table 5 presents visitor projections computed using the compound growth formula in (6). Puthuk Mongkrong exhibits the highest YoY growth rate (41.2%), projecting visitor numbers from 45,000 in 2024 to 126,682 by 2027 — a 181.5% three-year cumulative increase. Bukit Rhema (35.2% YoY) projects growth from 165,000 to 407,769 visitors by 2027, representing a 147.1% three-year increase. Gunung Andong (31.6% YoY) projects an increase from 55,000 to 125,352, a 127.9% three-year growth.</w:t>
      </w:r>
    </w:p>
    <w:p w:rsidR="001C60A6" w:rsidRPr="00227BF2" w:rsidRDefault="0009018B">
      <w:pPr>
        <w:spacing w:after="80"/>
        <w:ind w:firstLine="360"/>
        <w:jc w:val="both"/>
      </w:pPr>
      <w:r w:rsidRPr="00227BF2">
        <w:t>These Very Fast Growth destinations share a common profile: low current infrastructure scores (accessibility = 2, facility = 2), high quality ratings relative to infrastructure investment (4.3–4.6), and Low Season temporal zone classifications. This combination suggests that growth is being driven by organic digital word-of-mouth and social media discovery rather than formal promotional investment, making them highly responsive candidates for targeted infrastructure and promotional intervention. The projection model adopts a conservative constant-rate assumption; if infrastructure improvements trigger accelerated demand, actual visitor counts may significantly exceed these projections.</w:t>
      </w:r>
    </w:p>
    <w:p w:rsidR="001C60A6" w:rsidRPr="00227BF2" w:rsidRDefault="0009018B">
      <w:pPr>
        <w:spacing w:after="80"/>
        <w:ind w:firstLine="360"/>
        <w:jc w:val="both"/>
      </w:pPr>
      <w:r w:rsidRPr="00227BF2">
        <w:t>Conversely, Taman Kyai Langgeng shows the lowest projected growth (4.2% YoY, reaching 164,048 by 2027), suggesting market saturation effects or competitive substitution from newer destination types. Strategic renewal of visitor experience offerings and family-oriented eco-tourism zone development are recommended to revitalize growth momentum for this mature destination.</w:t>
      </w:r>
    </w:p>
    <w:p w:rsidR="001C60A6" w:rsidRPr="00227BF2" w:rsidRDefault="0009018B">
      <w:pPr>
        <w:spacing w:before="120" w:after="60"/>
      </w:pPr>
      <w:r w:rsidRPr="00227BF2">
        <w:rPr>
          <w:b/>
          <w:bCs/>
        </w:rPr>
        <w:t>3.6.  Conceptual Spatial Intelligence Framework</w:t>
      </w:r>
    </w:p>
    <w:p w:rsidR="001C60A6" w:rsidRPr="00227BF2" w:rsidRDefault="0009018B">
      <w:pPr>
        <w:spacing w:after="80"/>
        <w:ind w:firstLine="360"/>
        <w:jc w:val="both"/>
      </w:pPr>
      <w:r w:rsidRPr="00227BF2">
        <w:t>The resulting conceptual spatial intelligence model integrates four interdependent layers as illustrated in Figure 1. The Data Integration Layer combines multivariate destination attributes with spatial coordinates and temporal visit records into a unified geo-referenced data store. The Clustering Engine implements K-Means++ with multi-index validation (SC, DBI, CHI) to produce semantically meaningful destination segments. The Spatio-Temporal Analysis Layer incorporates GIS-based mapping, cluster evolution tracking, and visitor projection modeling to enable dynamic, time-aware spatial intelligence. The Application Framework Layer defines standardized interfaces to downstream tourism recommendation systems [23, 24].</w:t>
      </w:r>
    </w:p>
    <w:p w:rsidR="001C60A6" w:rsidRPr="00227BF2" w:rsidRDefault="0009018B">
      <w:pPr>
        <w:spacing w:after="80"/>
        <w:ind w:firstLine="360"/>
        <w:jc w:val="both"/>
      </w:pPr>
      <w:r w:rsidRPr="00227BF2">
        <w:t>The framework architecture supports iterative model updating as new temporal data become available, enabling cluster membership recalibration to reflect destination evolution. Destinations currently in Cluster 2 (Berkembang) with Very Fast Growth trajectories (Puthuk Mongkrong, Gunung Andong, Bukit Rhema) are predicted to migrate toward Cluster 3 (Potensial) or Cluster 1 (Unggulan) characteristics within 3–5 years if targeted development interventions are implemented, providing a model-driven basis for prioritized tourism investment allocation.</w:t>
      </w:r>
    </w:p>
    <w:p w:rsidR="00FA621A" w:rsidRDefault="00FA621A">
      <w:pPr>
        <w:spacing w:before="80" w:after="80"/>
        <w:jc w:val="center"/>
        <w:rPr>
          <w:i/>
          <w:iCs/>
        </w:rPr>
      </w:pPr>
      <w:r>
        <w:rPr>
          <w:noProof/>
        </w:rPr>
        <w:drawing>
          <wp:inline distT="0" distB="0" distL="0" distR="0" wp14:anchorId="7F8E806D" wp14:editId="18E1C911">
            <wp:extent cx="5939790" cy="431800"/>
            <wp:effectExtent l="0" t="0" r="3810" b="6350"/>
            <wp:docPr id="5" name="Picture 5" descr="C:\Users\USER\Downloads\WISATA MAGELANG-Halaman-3.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ISATA MAGELANG-Halaman-3.drawio (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9790" cy="431800"/>
                    </a:xfrm>
                    <a:prstGeom prst="rect">
                      <a:avLst/>
                    </a:prstGeom>
                    <a:noFill/>
                    <a:ln>
                      <a:noFill/>
                    </a:ln>
                  </pic:spPr>
                </pic:pic>
              </a:graphicData>
            </a:graphic>
          </wp:inline>
        </w:drawing>
      </w:r>
    </w:p>
    <w:p w:rsidR="001C60A6" w:rsidRPr="00227BF2" w:rsidRDefault="0009018B">
      <w:pPr>
        <w:spacing w:before="80" w:after="80"/>
        <w:jc w:val="center"/>
      </w:pPr>
      <w:r w:rsidRPr="00227BF2">
        <w:rPr>
          <w:i/>
          <w:iCs/>
        </w:rPr>
        <w:t>Figure 1. Conceptual Spatial Intelligence Framework Architecture</w:t>
      </w:r>
    </w:p>
    <w:p w:rsidR="001C60A6" w:rsidRPr="00227BF2" w:rsidRDefault="0009018B">
      <w:pPr>
        <w:spacing w:before="160" w:after="80"/>
      </w:pPr>
      <w:r w:rsidRPr="00227BF2">
        <w:rPr>
          <w:b/>
          <w:bCs/>
          <w:caps/>
        </w:rPr>
        <w:t>4. CONCLUSION</w:t>
      </w:r>
    </w:p>
    <w:p w:rsidR="001C60A6" w:rsidRPr="00227BF2" w:rsidRDefault="0009018B">
      <w:pPr>
        <w:spacing w:after="80"/>
        <w:ind w:firstLine="360"/>
        <w:jc w:val="both"/>
      </w:pPr>
      <w:r w:rsidRPr="00227BF2">
        <w:lastRenderedPageBreak/>
        <w:t>This study successfully developed a conceptual model of spatial intelligence based on K-Means++ clustering and spatio-temporal analysis for dynamic tourism potential modeling in Magelang Regency. The K-Means++ algorithm, initialized via probability-proportional centroid selection per (2) and converged after 5 iterations satisfying Δ &lt; 0.0001, produced three meaningful destination clusters: Cluster 1 (Outstanding) exclusively containing Candi Borobudur, Cluster 2 (Developing) comprising 8 destinations, and Cluster 3 (Potential) encompassing 6 destinations concentrated in the Borobudur heritage corridor.</w:t>
      </w:r>
    </w:p>
    <w:p w:rsidR="001C60A6" w:rsidRPr="00227BF2" w:rsidRDefault="0009018B">
      <w:pPr>
        <w:spacing w:after="80"/>
        <w:ind w:firstLine="360"/>
        <w:jc w:val="both"/>
      </w:pPr>
      <w:r w:rsidRPr="00227BF2">
        <w:t>Model validation confirmed acceptable quality with Silhouette Coefficient (SC = 0.500 ≥ 0.5), Davies-Bouldin Index (DBI = 0.893 &lt; 1.0), and Calinski-Harabasz Index (CHI = 7.051, limited by small dataset size N = 15). The detailed formulation of validation metrics in (7)–(9) provides a reproducible basis for model quality assessment in future extended studies with larger datasets.</w:t>
      </w:r>
    </w:p>
    <w:p w:rsidR="001C60A6" w:rsidRPr="00227BF2" w:rsidRDefault="0009018B">
      <w:pPr>
        <w:spacing w:after="80"/>
        <w:ind w:firstLine="360"/>
        <w:jc w:val="both"/>
      </w:pPr>
      <w:r w:rsidRPr="00227BF2">
        <w:t>Spatio-temporal analysis applying the compound growth projection formula in (6) revealed that Puthuk Mongkrong (41.2%), Bukit Rhema (35.2%), and Gunung Andong (31.6%) demonstrate the highest annual growth rates, projecting visitor increases of 181.5%, 147.1%, and 127.9% respectively by 2027. The four-layer spatial intelligence conceptual framework — data integration, clustering engine, spatio-temporal analysis, and application interface — establishes a foundational architecture for subsequent research targeting tourism recommendation systems. Future work will implement this framework on live geospatial data streams and evaluate recommendation quality through user-study experiments.</w:t>
      </w:r>
    </w:p>
    <w:p w:rsidR="001C60A6" w:rsidRPr="00227BF2" w:rsidRDefault="0009018B">
      <w:pPr>
        <w:spacing w:before="160" w:after="80"/>
      </w:pPr>
      <w:r w:rsidRPr="00227BF2">
        <w:rPr>
          <w:b/>
          <w:bCs/>
        </w:rPr>
        <w:t>ACKNOWLEDGMENTS</w:t>
      </w:r>
    </w:p>
    <w:p w:rsidR="001C60A6" w:rsidRPr="00227BF2" w:rsidRDefault="0009018B">
      <w:pPr>
        <w:spacing w:after="80"/>
        <w:ind w:firstLine="360"/>
        <w:jc w:val="both"/>
      </w:pPr>
      <w:r w:rsidRPr="00227BF2">
        <w:t>The authors express gratitude to STMIK Bina Patria Magelang for institutional support, and to the Regional Tourism Office (Dinas Pariwisata), Central Statistics Agency (BPS), and Regional Development Planning Agency (Bappeda) of Magelang Regency for providing research data.</w:t>
      </w:r>
    </w:p>
    <w:p w:rsidR="001C60A6" w:rsidRPr="00227BF2" w:rsidRDefault="0009018B">
      <w:pPr>
        <w:spacing w:before="120" w:after="80"/>
      </w:pPr>
      <w:r w:rsidRPr="00227BF2">
        <w:rPr>
          <w:b/>
          <w:bCs/>
        </w:rPr>
        <w:t>FUNDING INFORMATION</w:t>
      </w:r>
    </w:p>
    <w:p w:rsidR="001C60A6" w:rsidRPr="00227BF2" w:rsidRDefault="0009018B">
      <w:pPr>
        <w:spacing w:after="80"/>
        <w:ind w:firstLine="360"/>
        <w:jc w:val="both"/>
      </w:pPr>
      <w:r w:rsidRPr="00227BF2">
        <w:t>This research was supported by the Fundamental Research Grant (Penelitian Dasar Fundamental — PDF) from the Ministry of Education, Culture, Research and Technology of the Republic of Indonesia (Kemdikbudristek), as part of the Competitive Research Scheme for Higher Education.</w:t>
      </w:r>
    </w:p>
    <w:p w:rsidR="001C60A6" w:rsidRPr="00227BF2" w:rsidRDefault="0009018B">
      <w:pPr>
        <w:spacing w:before="120" w:after="80"/>
      </w:pPr>
      <w:r w:rsidRPr="00227BF2">
        <w:rPr>
          <w:b/>
          <w:bCs/>
        </w:rPr>
        <w:t>AUTHOR CONTRIBUTIONS STATEMENT</w:t>
      </w:r>
    </w:p>
    <w:p w:rsidR="001C60A6" w:rsidRPr="00227BF2" w:rsidRDefault="0009018B">
      <w:pPr>
        <w:spacing w:after="80"/>
        <w:ind w:firstLine="360"/>
        <w:jc w:val="both"/>
      </w:pPr>
      <w:r w:rsidRPr="00227BF2">
        <w:t>This journal uses the Contributor Roles Taxonomy (CRediT) to recognize individual author contributions, reduce authorship disputes, and facilitate collaboration.</w:t>
      </w:r>
    </w:p>
    <w:tbl>
      <w:tblPr>
        <w:tblW w:w="902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7"/>
        <w:gridCol w:w="502"/>
        <w:gridCol w:w="502"/>
        <w:gridCol w:w="502"/>
        <w:gridCol w:w="502"/>
        <w:gridCol w:w="502"/>
        <w:gridCol w:w="501"/>
        <w:gridCol w:w="501"/>
        <w:gridCol w:w="501"/>
        <w:gridCol w:w="501"/>
        <w:gridCol w:w="501"/>
        <w:gridCol w:w="501"/>
        <w:gridCol w:w="501"/>
        <w:gridCol w:w="501"/>
        <w:gridCol w:w="501"/>
      </w:tblGrid>
      <w:tr w:rsidR="001C60A6" w:rsidRPr="00227BF2">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Name of Author</w:t>
            </w:r>
          </w:p>
        </w:tc>
        <w:tc>
          <w:tcPr>
            <w:tcW w:w="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C</w:t>
            </w:r>
          </w:p>
        </w:tc>
        <w:tc>
          <w:tcPr>
            <w:tcW w:w="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M</w:t>
            </w:r>
          </w:p>
        </w:tc>
        <w:tc>
          <w:tcPr>
            <w:tcW w:w="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So</w:t>
            </w:r>
          </w:p>
        </w:tc>
        <w:tc>
          <w:tcPr>
            <w:tcW w:w="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Va</w:t>
            </w:r>
          </w:p>
        </w:tc>
        <w:tc>
          <w:tcPr>
            <w:tcW w:w="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Fo</w:t>
            </w:r>
          </w:p>
        </w:tc>
        <w:tc>
          <w:tcPr>
            <w:tcW w:w="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I</w:t>
            </w:r>
          </w:p>
        </w:tc>
        <w:tc>
          <w:tcPr>
            <w:tcW w:w="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R</w:t>
            </w:r>
          </w:p>
        </w:tc>
        <w:tc>
          <w:tcPr>
            <w:tcW w:w="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D</w:t>
            </w:r>
          </w:p>
        </w:tc>
        <w:tc>
          <w:tcPr>
            <w:tcW w:w="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O</w:t>
            </w:r>
          </w:p>
        </w:tc>
        <w:tc>
          <w:tcPr>
            <w:tcW w:w="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E</w:t>
            </w:r>
          </w:p>
        </w:tc>
        <w:tc>
          <w:tcPr>
            <w:tcW w:w="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Vi</w:t>
            </w:r>
          </w:p>
        </w:tc>
        <w:tc>
          <w:tcPr>
            <w:tcW w:w="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Su</w:t>
            </w:r>
          </w:p>
        </w:tc>
        <w:tc>
          <w:tcPr>
            <w:tcW w:w="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P</w:t>
            </w:r>
          </w:p>
        </w:tc>
        <w:tc>
          <w:tcPr>
            <w:tcW w:w="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rsidR="001C60A6" w:rsidRPr="00227BF2" w:rsidRDefault="0009018B">
            <w:pPr>
              <w:jc w:val="center"/>
            </w:pPr>
            <w:r w:rsidRPr="00227BF2">
              <w:rPr>
                <w:b/>
                <w:bCs/>
              </w:rPr>
              <w:t>Fu</w:t>
            </w:r>
          </w:p>
        </w:tc>
      </w:tr>
      <w:tr w:rsidR="001C60A6" w:rsidRPr="00227BF2">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sidP="00227BF2">
            <w:r w:rsidRPr="00227BF2">
              <w:t>Kanafi</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1C60A6">
            <w:pPr>
              <w:jc w:val="center"/>
            </w:pP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1C60A6">
            <w:pPr>
              <w:jc w:val="center"/>
            </w:pP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1C60A6">
            <w:pPr>
              <w:jc w:val="center"/>
            </w:pP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1C60A6">
            <w:pPr>
              <w:jc w:val="center"/>
            </w:pPr>
          </w:p>
        </w:tc>
      </w:tr>
      <w:tr w:rsidR="001C60A6" w:rsidRPr="00227BF2">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sidP="00227BF2">
            <w:r w:rsidRPr="00227BF2">
              <w:t>Yusuf Wahyu Setiya Putra</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1C60A6">
            <w:pPr>
              <w:jc w:val="center"/>
            </w:pP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1C60A6">
            <w:pPr>
              <w:jc w:val="center"/>
            </w:pP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1C60A6">
            <w:pPr>
              <w:jc w:val="center"/>
            </w:pP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1C60A6">
            <w:pPr>
              <w:jc w:val="center"/>
            </w:pP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1C60A6">
            <w:pPr>
              <w:jc w:val="center"/>
            </w:pPr>
          </w:p>
        </w:tc>
      </w:tr>
      <w:tr w:rsidR="001C60A6" w:rsidRPr="00227BF2">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rsidP="00227BF2">
            <w:r w:rsidRPr="00227BF2">
              <w:t>Mira Fitriana</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1C60A6">
            <w:pPr>
              <w:jc w:val="center"/>
            </w:pP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1C60A6">
            <w:pPr>
              <w:jc w:val="center"/>
            </w:pP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1C60A6">
            <w:pPr>
              <w:jc w:val="center"/>
            </w:pP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1C60A6">
            <w:pPr>
              <w:jc w:val="center"/>
            </w:pP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09018B">
            <w:pPr>
              <w:jc w:val="center"/>
            </w:pPr>
            <w:r w:rsidRPr="00227BF2">
              <w:rPr>
                <w:rFonts w:ascii="MS Gothic" w:eastAsia="MS Gothic" w:hAnsi="MS Gothic" w:cs="MS Gothic" w:hint="eastAsia"/>
              </w:rPr>
              <w:t>✓</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1C60A6">
            <w:pPr>
              <w:jc w:val="center"/>
            </w:pP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1C60A6">
            <w:pPr>
              <w:jc w:val="center"/>
            </w:pPr>
          </w:p>
        </w:tc>
        <w:tc>
          <w:tcPr>
            <w:tcW w:w="450" w:type="dxa"/>
            <w:tcBorders>
              <w:top w:val="single" w:sz="4" w:space="0" w:color="000000"/>
              <w:left w:val="single" w:sz="4" w:space="0" w:color="000000"/>
              <w:bottom w:val="single" w:sz="4" w:space="0" w:color="000000"/>
              <w:right w:val="single" w:sz="4" w:space="0" w:color="000000"/>
            </w:tcBorders>
            <w:shd w:val="clear" w:color="auto" w:fill="FFFFFF"/>
            <w:tcMar>
              <w:top w:w="40" w:type="dxa"/>
              <w:left w:w="80" w:type="dxa"/>
              <w:bottom w:w="40" w:type="dxa"/>
              <w:right w:w="80" w:type="dxa"/>
            </w:tcMar>
            <w:vAlign w:val="center"/>
          </w:tcPr>
          <w:p w:rsidR="001C60A6" w:rsidRPr="00227BF2" w:rsidRDefault="001C60A6">
            <w:pPr>
              <w:jc w:val="center"/>
            </w:pPr>
          </w:p>
        </w:tc>
      </w:tr>
    </w:tbl>
    <w:p w:rsidR="001C60A6" w:rsidRPr="00227BF2" w:rsidRDefault="001C60A6">
      <w:pPr>
        <w:spacing w:after="80"/>
      </w:pPr>
    </w:p>
    <w:tbl>
      <w:tblPr>
        <w:tblW w:w="9026" w:type="dxa"/>
        <w:tblInd w:w="90" w:type="dxa"/>
        <w:tblCellMar>
          <w:left w:w="10" w:type="dxa"/>
          <w:right w:w="10" w:type="dxa"/>
        </w:tblCellMar>
        <w:tblLook w:val="0000" w:firstRow="0" w:lastRow="0" w:firstColumn="0" w:lastColumn="0" w:noHBand="0" w:noVBand="0"/>
      </w:tblPr>
      <w:tblGrid>
        <w:gridCol w:w="3000"/>
        <w:gridCol w:w="3013"/>
        <w:gridCol w:w="3013"/>
      </w:tblGrid>
      <w:tr w:rsidR="001C60A6" w:rsidRPr="00227BF2" w:rsidTr="00866CF7">
        <w:tc>
          <w:tcPr>
            <w:tcW w:w="3000" w:type="dxa"/>
            <w:tcMar>
              <w:top w:w="60" w:type="dxa"/>
              <w:left w:w="100" w:type="dxa"/>
              <w:bottom w:w="60" w:type="dxa"/>
              <w:right w:w="100" w:type="dxa"/>
            </w:tcMar>
          </w:tcPr>
          <w:p w:rsidR="001C60A6" w:rsidRPr="00227BF2" w:rsidRDefault="0009018B">
            <w:pPr>
              <w:spacing w:after="20"/>
            </w:pPr>
            <w:r w:rsidRPr="00227BF2">
              <w:t>C : Conceptualization</w:t>
            </w:r>
          </w:p>
          <w:p w:rsidR="001C60A6" w:rsidRPr="00227BF2" w:rsidRDefault="0009018B">
            <w:pPr>
              <w:spacing w:after="20"/>
            </w:pPr>
            <w:r w:rsidRPr="00227BF2">
              <w:t>M : Methodology</w:t>
            </w:r>
          </w:p>
          <w:p w:rsidR="001C60A6" w:rsidRPr="00227BF2" w:rsidRDefault="0009018B">
            <w:pPr>
              <w:spacing w:after="20"/>
            </w:pPr>
            <w:r w:rsidRPr="00227BF2">
              <w:t>So : Software</w:t>
            </w:r>
          </w:p>
          <w:p w:rsidR="001C60A6" w:rsidRPr="00227BF2" w:rsidRDefault="0009018B">
            <w:pPr>
              <w:spacing w:after="20"/>
            </w:pPr>
            <w:r w:rsidRPr="00227BF2">
              <w:t>Va : Validation</w:t>
            </w:r>
          </w:p>
          <w:p w:rsidR="001C60A6" w:rsidRPr="00227BF2" w:rsidRDefault="0009018B">
            <w:r w:rsidRPr="00227BF2">
              <w:t>Fo : Formal analysis</w:t>
            </w:r>
          </w:p>
        </w:tc>
        <w:tc>
          <w:tcPr>
            <w:tcW w:w="3013" w:type="dxa"/>
            <w:tcMar>
              <w:top w:w="60" w:type="dxa"/>
              <w:left w:w="100" w:type="dxa"/>
              <w:bottom w:w="60" w:type="dxa"/>
              <w:right w:w="100" w:type="dxa"/>
            </w:tcMar>
          </w:tcPr>
          <w:p w:rsidR="001C60A6" w:rsidRPr="00227BF2" w:rsidRDefault="0009018B">
            <w:pPr>
              <w:spacing w:after="20"/>
            </w:pPr>
            <w:r w:rsidRPr="00227BF2">
              <w:t>I : Investigation</w:t>
            </w:r>
          </w:p>
          <w:p w:rsidR="001C60A6" w:rsidRPr="00227BF2" w:rsidRDefault="0009018B">
            <w:pPr>
              <w:spacing w:after="20"/>
            </w:pPr>
            <w:r w:rsidRPr="00227BF2">
              <w:t>R : Resources</w:t>
            </w:r>
          </w:p>
          <w:p w:rsidR="001C60A6" w:rsidRPr="00227BF2" w:rsidRDefault="0009018B">
            <w:pPr>
              <w:spacing w:after="20"/>
            </w:pPr>
            <w:r w:rsidRPr="00227BF2">
              <w:t>D : Data Curation</w:t>
            </w:r>
          </w:p>
          <w:p w:rsidR="001C60A6" w:rsidRPr="00227BF2" w:rsidRDefault="0009018B">
            <w:pPr>
              <w:spacing w:after="20"/>
            </w:pPr>
            <w:r w:rsidRPr="00227BF2">
              <w:t>O : Writing - Original Draft</w:t>
            </w:r>
          </w:p>
          <w:p w:rsidR="001C60A6" w:rsidRPr="00227BF2" w:rsidRDefault="0009018B">
            <w:r w:rsidRPr="00227BF2">
              <w:t>E : Writing - Review &amp; Editing</w:t>
            </w:r>
          </w:p>
        </w:tc>
        <w:tc>
          <w:tcPr>
            <w:tcW w:w="3013" w:type="dxa"/>
            <w:tcMar>
              <w:top w:w="60" w:type="dxa"/>
              <w:left w:w="100" w:type="dxa"/>
              <w:bottom w:w="60" w:type="dxa"/>
              <w:right w:w="100" w:type="dxa"/>
            </w:tcMar>
          </w:tcPr>
          <w:p w:rsidR="001C60A6" w:rsidRPr="00227BF2" w:rsidRDefault="0009018B">
            <w:pPr>
              <w:spacing w:after="20"/>
            </w:pPr>
            <w:r w:rsidRPr="00227BF2">
              <w:t>Vi : Visualization</w:t>
            </w:r>
          </w:p>
          <w:p w:rsidR="001C60A6" w:rsidRPr="00227BF2" w:rsidRDefault="0009018B">
            <w:pPr>
              <w:spacing w:after="20"/>
            </w:pPr>
            <w:r w:rsidRPr="00227BF2">
              <w:t>Su : Supervision</w:t>
            </w:r>
          </w:p>
          <w:p w:rsidR="001C60A6" w:rsidRPr="00227BF2" w:rsidRDefault="0009018B">
            <w:pPr>
              <w:spacing w:after="20"/>
            </w:pPr>
            <w:r w:rsidRPr="00227BF2">
              <w:t>P : Project administration</w:t>
            </w:r>
          </w:p>
          <w:p w:rsidR="001C60A6" w:rsidRPr="00227BF2" w:rsidRDefault="0009018B">
            <w:r w:rsidRPr="00227BF2">
              <w:t>Fu : Funding acquisition</w:t>
            </w:r>
          </w:p>
        </w:tc>
      </w:tr>
    </w:tbl>
    <w:p w:rsidR="001C60A6" w:rsidRPr="00227BF2" w:rsidRDefault="001C60A6">
      <w:pPr>
        <w:spacing w:after="80"/>
      </w:pPr>
    </w:p>
    <w:p w:rsidR="001C60A6" w:rsidRPr="00227BF2" w:rsidRDefault="0009018B">
      <w:pPr>
        <w:spacing w:before="120" w:after="80"/>
      </w:pPr>
      <w:r w:rsidRPr="00227BF2">
        <w:rPr>
          <w:b/>
          <w:bCs/>
        </w:rPr>
        <w:t>CONFLICT OF INTEREST STATEMENT</w:t>
      </w:r>
    </w:p>
    <w:p w:rsidR="001C60A6" w:rsidRPr="00227BF2" w:rsidRDefault="0009018B">
      <w:pPr>
        <w:spacing w:after="80"/>
        <w:ind w:firstLine="360"/>
        <w:jc w:val="both"/>
      </w:pPr>
      <w:r w:rsidRPr="00227BF2">
        <w:t>Authors state no conflict of interest.</w:t>
      </w:r>
    </w:p>
    <w:p w:rsidR="001C60A6" w:rsidRPr="00227BF2" w:rsidRDefault="0009018B">
      <w:pPr>
        <w:spacing w:before="120" w:after="80"/>
      </w:pPr>
      <w:r w:rsidRPr="00227BF2">
        <w:rPr>
          <w:b/>
          <w:bCs/>
        </w:rPr>
        <w:t>DATA AVAILABILITY</w:t>
      </w:r>
    </w:p>
    <w:p w:rsidR="001C60A6" w:rsidRPr="00227BF2" w:rsidRDefault="0009018B">
      <w:pPr>
        <w:spacing w:after="80"/>
        <w:ind w:firstLine="360"/>
        <w:jc w:val="both"/>
      </w:pPr>
      <w:r w:rsidRPr="00227BF2">
        <w:t xml:space="preserve">The data that support the findings of this study are available from the corresponding author upon reasonable request. The web demonstration platform is publicly </w:t>
      </w:r>
      <w:r w:rsidR="00866CF7">
        <w:t>web tourism web recommendation.</w:t>
      </w:r>
    </w:p>
    <w:p w:rsidR="001C60A6" w:rsidRPr="00227BF2" w:rsidRDefault="0009018B">
      <w:pPr>
        <w:spacing w:before="160" w:after="80"/>
      </w:pPr>
      <w:r w:rsidRPr="00227BF2">
        <w:rPr>
          <w:b/>
          <w:bCs/>
        </w:rPr>
        <w:t>REFERENCES</w:t>
      </w:r>
    </w:p>
    <w:p w:rsidR="001C60A6" w:rsidRPr="00227BF2" w:rsidRDefault="0009018B">
      <w:pPr>
        <w:spacing w:after="60"/>
        <w:ind w:left="360" w:hanging="360"/>
        <w:jc w:val="both"/>
      </w:pPr>
      <w:r w:rsidRPr="00227BF2">
        <w:t>[1]</w:t>
      </w:r>
      <w:r w:rsidRPr="00227BF2">
        <w:tab/>
        <w:t>I. Baydur, "Sustainable development of regional tourism for economic resilience," J. Bus. Econ. Options, vol. 7, no. 3, pp. 10–18, 2024.</w:t>
      </w:r>
    </w:p>
    <w:p w:rsidR="001C60A6" w:rsidRPr="00227BF2" w:rsidRDefault="0009018B">
      <w:pPr>
        <w:spacing w:after="60"/>
        <w:ind w:left="360" w:hanging="360"/>
        <w:jc w:val="both"/>
      </w:pPr>
      <w:r w:rsidRPr="00227BF2">
        <w:t>[2]</w:t>
      </w:r>
      <w:r w:rsidRPr="00227BF2">
        <w:tab/>
        <w:t>L. Latifah, "A semiotic branding analysis of Borobudur: world spiritual tourism destination," J. Humanity Soc. Justice, pp. 60–76, 2024.</w:t>
      </w:r>
    </w:p>
    <w:p w:rsidR="001C60A6" w:rsidRPr="00227BF2" w:rsidRDefault="0009018B">
      <w:pPr>
        <w:spacing w:after="60"/>
        <w:ind w:left="360" w:hanging="360"/>
        <w:jc w:val="both"/>
      </w:pPr>
      <w:r w:rsidRPr="00227BF2">
        <w:lastRenderedPageBreak/>
        <w:t>[3]</w:t>
      </w:r>
      <w:r w:rsidRPr="00227BF2">
        <w:tab/>
        <w:t>G. Solazzo et al., "Extracting insights from big social data for smarter tourism destination management," Meas. Bus. Excell., vol. 26, no. 1, pp. 122–140, 2022.</w:t>
      </w:r>
    </w:p>
    <w:p w:rsidR="001C60A6" w:rsidRPr="00227BF2" w:rsidRDefault="0009018B">
      <w:pPr>
        <w:spacing w:after="60"/>
        <w:ind w:left="360" w:hanging="360"/>
        <w:jc w:val="both"/>
      </w:pPr>
      <w:r w:rsidRPr="00227BF2">
        <w:t>[4]</w:t>
      </w:r>
      <w:r w:rsidRPr="00227BF2">
        <w:tab/>
        <w:t>X. Zhou et al., "A smart tourism recommendation algorithm based on cellular geospatial clustering," ISPRS Int. J. Geo-Inf., vol. 10, no. 9, p. 628, 2021.</w:t>
      </w:r>
    </w:p>
    <w:p w:rsidR="001C60A6" w:rsidRPr="00227BF2" w:rsidRDefault="0009018B">
      <w:pPr>
        <w:spacing w:after="60"/>
        <w:ind w:left="360" w:hanging="360"/>
        <w:jc w:val="both"/>
      </w:pPr>
      <w:r w:rsidRPr="00227BF2">
        <w:t>[5]</w:t>
      </w:r>
      <w:r w:rsidRPr="00227BF2">
        <w:tab/>
        <w:t>M. Sanchez-Rivero et al., "K-means segmentation of tourism accommodation based on the active use of websites," J. Vac. Mark., vol. 29, no. 4, pp. 654–669, 2023.</w:t>
      </w:r>
    </w:p>
    <w:p w:rsidR="001C60A6" w:rsidRPr="00227BF2" w:rsidRDefault="0009018B">
      <w:pPr>
        <w:spacing w:after="60"/>
        <w:ind w:left="360" w:hanging="360"/>
        <w:jc w:val="both"/>
      </w:pPr>
      <w:r w:rsidRPr="00227BF2">
        <w:t>[6]</w:t>
      </w:r>
      <w:r w:rsidRPr="00227BF2">
        <w:tab/>
        <w:t>Y. Qin et al., "Spatial-temporal evolution patterns of hotels in China: 1978–2018," Int. J. Contemp. Hosp. Manag., vol. 33, no. 6, pp. 2194–2218, 2021.</w:t>
      </w:r>
    </w:p>
    <w:p w:rsidR="001C60A6" w:rsidRPr="00227BF2" w:rsidRDefault="0009018B">
      <w:pPr>
        <w:spacing w:after="60"/>
        <w:ind w:left="360" w:hanging="360"/>
        <w:jc w:val="both"/>
      </w:pPr>
      <w:r w:rsidRPr="00227BF2">
        <w:t>[7]</w:t>
      </w:r>
      <w:r w:rsidRPr="00227BF2">
        <w:tab/>
        <w:t>K. Kanafi and F. Fatkhurrochman, "Optimization of clustering model for mapping tourism potential in Magelang Regency using K-means clustering algorithm," Electron. J. Educ. Soc. Econ. Technol., vol. 6, no. 2, p. 1011, 2025.</w:t>
      </w:r>
    </w:p>
    <w:p w:rsidR="001C60A6" w:rsidRPr="00227BF2" w:rsidRDefault="0009018B">
      <w:pPr>
        <w:spacing w:after="60"/>
        <w:ind w:left="360" w:hanging="360"/>
        <w:jc w:val="both"/>
      </w:pPr>
      <w:r w:rsidRPr="00227BF2">
        <w:t>[8]</w:t>
      </w:r>
      <w:r w:rsidRPr="00227BF2">
        <w:tab/>
        <w:t>K. Vogklis, "Leveraging spatiotemporal big data for sustainable destination development," Inf. Technol. Tourism, vol. 27, no. 4, pp. 981–1010, 2025.</w:t>
      </w:r>
    </w:p>
    <w:p w:rsidR="001C60A6" w:rsidRPr="00227BF2" w:rsidRDefault="0009018B">
      <w:pPr>
        <w:spacing w:after="60"/>
        <w:ind w:left="360" w:hanging="360"/>
        <w:jc w:val="both"/>
      </w:pPr>
      <w:r w:rsidRPr="00227BF2">
        <w:t>[9]</w:t>
      </w:r>
      <w:r w:rsidRPr="00227BF2">
        <w:tab/>
        <w:t>E. Hassan et al., "A hybrid K-means++ and particle swarm optimization approach for enhanced document clustering," IEEE Access, 2025.</w:t>
      </w:r>
    </w:p>
    <w:p w:rsidR="001C60A6" w:rsidRPr="00227BF2" w:rsidRDefault="0009018B">
      <w:pPr>
        <w:spacing w:after="60"/>
        <w:ind w:left="360" w:hanging="360"/>
        <w:jc w:val="both"/>
      </w:pPr>
      <w:r w:rsidRPr="00227BF2">
        <w:t>[10]</w:t>
      </w:r>
      <w:r w:rsidRPr="00227BF2">
        <w:tab/>
        <w:t>Z. Gao et al., "Exploring tourist spatiotemporal behavior differences and tourism infrastructure supply-demand pattern," Int. J. Digital Earth, vol. 17, no. 1, p. 2310723, 2024.</w:t>
      </w:r>
    </w:p>
    <w:p w:rsidR="001C60A6" w:rsidRPr="00227BF2" w:rsidRDefault="0009018B">
      <w:pPr>
        <w:spacing w:after="60"/>
        <w:ind w:left="360" w:hanging="360"/>
        <w:jc w:val="both"/>
      </w:pPr>
      <w:r w:rsidRPr="00227BF2">
        <w:t>[11]</w:t>
      </w:r>
      <w:r w:rsidRPr="00227BF2">
        <w:tab/>
        <w:t>H. He et al., "Analysis of temporal and spatial evolution of tourism resource carrying capacity performance in China," Ecol. Indic., vol. 147, p. 109951, 2023.</w:t>
      </w:r>
    </w:p>
    <w:p w:rsidR="001C60A6" w:rsidRPr="00227BF2" w:rsidRDefault="0009018B">
      <w:pPr>
        <w:spacing w:after="60"/>
        <w:ind w:left="360" w:hanging="360"/>
        <w:jc w:val="both"/>
      </w:pPr>
      <w:r w:rsidRPr="00227BF2">
        <w:t>[12]</w:t>
      </w:r>
      <w:r w:rsidRPr="00227BF2">
        <w:tab/>
        <w:t>J. Rong et al., "Big data intelligent tourism management platform design based on abnormal behavior identification," Intell. Syst. Appl., vol. 21, p. 200312, 2024.</w:t>
      </w:r>
    </w:p>
    <w:p w:rsidR="001C60A6" w:rsidRPr="00227BF2" w:rsidRDefault="0009018B">
      <w:pPr>
        <w:spacing w:after="60"/>
        <w:ind w:left="360" w:hanging="360"/>
        <w:jc w:val="both"/>
      </w:pPr>
      <w:r w:rsidRPr="00227BF2">
        <w:t>[13]</w:t>
      </w:r>
      <w:r w:rsidRPr="00227BF2">
        <w:tab/>
        <w:t>X. Xiao et al., "Personalized tourism recommendation model based on temporal multilayer sequential neural network," Sci. Rep., vol. 15, no. 1, p. 382, 2025.</w:t>
      </w:r>
    </w:p>
    <w:p w:rsidR="001C60A6" w:rsidRPr="00227BF2" w:rsidRDefault="0009018B">
      <w:pPr>
        <w:spacing w:after="60"/>
        <w:ind w:left="360" w:hanging="360"/>
        <w:jc w:val="both"/>
      </w:pPr>
      <w:r w:rsidRPr="00227BF2">
        <w:t>[14]</w:t>
      </w:r>
      <w:r w:rsidRPr="00227BF2">
        <w:tab/>
        <w:t>M. B. Osman, "The synergy of data science, GIS spatial analysis and knowledge management as a path to sustainability insights," in Geographic Information Systems, London: IntechOpen, 2023.</w:t>
      </w:r>
    </w:p>
    <w:p w:rsidR="001C60A6" w:rsidRPr="00227BF2" w:rsidRDefault="0009018B">
      <w:pPr>
        <w:spacing w:after="60"/>
        <w:ind w:left="360" w:hanging="360"/>
        <w:jc w:val="both"/>
      </w:pPr>
      <w:r w:rsidRPr="00227BF2">
        <w:t>[15]</w:t>
      </w:r>
      <w:r w:rsidRPr="00227BF2">
        <w:tab/>
        <w:t>E. Rahmadian et al., "Big data governance: the case of mobile positioning data for official tourism statistics in Indonesia," in Proc. 64th ISI World Stat. Congr., 2023.</w:t>
      </w:r>
    </w:p>
    <w:p w:rsidR="001C60A6" w:rsidRPr="00227BF2" w:rsidRDefault="0009018B">
      <w:pPr>
        <w:spacing w:after="60"/>
        <w:ind w:left="360" w:hanging="360"/>
        <w:jc w:val="both"/>
      </w:pPr>
      <w:r w:rsidRPr="00227BF2">
        <w:t>[16]</w:t>
      </w:r>
      <w:r w:rsidRPr="00227BF2">
        <w:tab/>
        <w:t>A. M. Sharifnia et al., "A primer of data cleaning in quantitative research: handling missing values and outliers," J. Adv. Nurs., 2025.</w:t>
      </w:r>
    </w:p>
    <w:p w:rsidR="001C60A6" w:rsidRPr="00227BF2" w:rsidRDefault="0009018B">
      <w:pPr>
        <w:spacing w:after="60"/>
        <w:ind w:left="360" w:hanging="360"/>
        <w:jc w:val="both"/>
      </w:pPr>
      <w:r w:rsidRPr="00227BF2">
        <w:t>[17]</w:t>
      </w:r>
      <w:r w:rsidRPr="00227BF2">
        <w:tab/>
        <w:t>M. E. Kamenetsky et al., "Spatial and spatio-temporal cluster detection using stacking," Spat. Stat., p. 100933, 2025.</w:t>
      </w:r>
    </w:p>
    <w:p w:rsidR="001C60A6" w:rsidRPr="00227BF2" w:rsidRDefault="0009018B">
      <w:pPr>
        <w:spacing w:after="60"/>
        <w:ind w:left="360" w:hanging="360"/>
        <w:jc w:val="both"/>
      </w:pPr>
      <w:r w:rsidRPr="00227BF2">
        <w:t>[18]</w:t>
      </w:r>
      <w:r w:rsidRPr="00227BF2">
        <w:tab/>
        <w:t>C. Baldassi, "Recombinator-k-means: an evolutionary algorithm that exploits k-means++ for recombination," IEEE Trans. Evol. Comput., vol. 26, no. 5, pp. 991–1003, 2022.</w:t>
      </w:r>
    </w:p>
    <w:p w:rsidR="001C60A6" w:rsidRPr="00227BF2" w:rsidRDefault="0009018B">
      <w:pPr>
        <w:spacing w:after="60"/>
        <w:ind w:left="360" w:hanging="360"/>
        <w:jc w:val="both"/>
      </w:pPr>
      <w:r w:rsidRPr="00227BF2">
        <w:t>[19]</w:t>
      </w:r>
      <w:r w:rsidRPr="00227BF2">
        <w:tab/>
        <w:t>T. Wu et al., "Integrating spatial vitality and node-place model to evaluate and classify metro station areas in Wuhan," Front. Archit. Res., vol. 13, no. 6, pp. 1363–1376, 2024.</w:t>
      </w:r>
    </w:p>
    <w:p w:rsidR="001C60A6" w:rsidRPr="00227BF2" w:rsidRDefault="0009018B">
      <w:pPr>
        <w:spacing w:after="60"/>
        <w:ind w:left="360" w:hanging="360"/>
        <w:jc w:val="both"/>
      </w:pPr>
      <w:r w:rsidRPr="00227BF2">
        <w:t>[20]</w:t>
      </w:r>
      <w:r w:rsidRPr="00227BF2">
        <w:tab/>
        <w:t>S. Valizadeh-Haghi et al., "Feasibility study of establishing an integrated geographic information system," Perform. Meas. Metrics, vol. 25, no. 3–4, pp. 206–214, 2024.</w:t>
      </w:r>
    </w:p>
    <w:p w:rsidR="001C60A6" w:rsidRPr="00227BF2" w:rsidRDefault="0009018B">
      <w:pPr>
        <w:spacing w:after="60"/>
        <w:ind w:left="360" w:hanging="360"/>
        <w:jc w:val="both"/>
      </w:pPr>
      <w:r w:rsidRPr="00227BF2">
        <w:t>[21]</w:t>
      </w:r>
      <w:r w:rsidRPr="00227BF2">
        <w:tab/>
        <w:t>J. Rubiños et al., "A comparative analysis of algorithms and metrics to perform clustering," in Intl. Symp. Distributed Comput. Artificial Intell., Cham: Springer, pp. 63–72, 2024.</w:t>
      </w:r>
    </w:p>
    <w:p w:rsidR="001C60A6" w:rsidRPr="00227BF2" w:rsidRDefault="0009018B">
      <w:pPr>
        <w:spacing w:after="60"/>
        <w:ind w:left="360" w:hanging="360"/>
        <w:jc w:val="both"/>
      </w:pPr>
      <w:r w:rsidRPr="00227BF2">
        <w:t>[22]</w:t>
      </w:r>
      <w:r w:rsidRPr="00227BF2">
        <w:tab/>
        <w:t>K. Kanafi and M. Fitriana, "The best tourism recommendation intelligent system model: weighted product and K-means methods," SISTEMASI, vol. 13, no. 5, pp. 2116–2129, 2024.</w:t>
      </w:r>
    </w:p>
    <w:p w:rsidR="001C60A6" w:rsidRPr="00227BF2" w:rsidRDefault="0009018B">
      <w:pPr>
        <w:spacing w:after="60"/>
        <w:ind w:left="360" w:hanging="360"/>
        <w:jc w:val="both"/>
      </w:pPr>
      <w:r w:rsidRPr="00227BF2">
        <w:t>[23]</w:t>
      </w:r>
      <w:r w:rsidRPr="00227BF2">
        <w:tab/>
        <w:t>M. Flórez et al., "A context-aware tourism recommender system using a hybrid method combining deep learning and ontology-based knowledge," J. Theor. Appl. Electron. Commer. Res., vol. 20, no. 3, p. 194, 2025.</w:t>
      </w:r>
    </w:p>
    <w:p w:rsidR="001C60A6" w:rsidRPr="00227BF2" w:rsidRDefault="0009018B">
      <w:pPr>
        <w:spacing w:after="60"/>
        <w:ind w:left="360" w:hanging="360"/>
        <w:jc w:val="both"/>
      </w:pPr>
      <w:r w:rsidRPr="00227BF2">
        <w:t>[24]</w:t>
      </w:r>
      <w:r w:rsidRPr="00227BF2">
        <w:tab/>
        <w:t>J. Nascimento and S. M. C. Loureiro, "Boosting heritage recommendations through awe and augmented reality," Int. J. Contemp. Hosp. Manag., vol. 36, no. 11, pp. 3841–3864, 2024.</w:t>
      </w:r>
    </w:p>
    <w:sectPr w:rsidR="001C60A6" w:rsidRPr="00227BF2" w:rsidSect="004133C0">
      <w:headerReference w:type="default" r:id="rId16"/>
      <w:type w:val="continuous"/>
      <w:pgSz w:w="11906" w:h="16838"/>
      <w:pgMar w:top="1418" w:right="1134" w:bottom="1134" w:left="1418" w:header="1134" w:footer="113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53D5" w:rsidRDefault="00F753D5">
      <w:r>
        <w:separator/>
      </w:r>
    </w:p>
  </w:endnote>
  <w:endnote w:type="continuationSeparator" w:id="0">
    <w:p w:rsidR="00F753D5" w:rsidRDefault="00F75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18B" w:rsidRDefault="0009018B">
    <w:pPr>
      <w:pBdr>
        <w:top w:val="single" w:sz="6" w:space="0" w:color="000000"/>
      </w:pBdr>
    </w:pPr>
    <w:r>
      <w:rPr>
        <w:i/>
        <w:iCs/>
        <w:sz w:val="16"/>
        <w:szCs w:val="16"/>
      </w:rPr>
      <w:t>Conceptual Model Development of Spatial Intelligence Based on K-Means++ … (Kanafi)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756E" w:rsidRPr="00E9756E" w:rsidRDefault="00E9756E">
    <w:pPr>
      <w:pStyle w:val="Footer"/>
      <w:rPr>
        <w:i/>
      </w:rPr>
    </w:pPr>
    <w:r w:rsidRPr="00E9756E">
      <w:rPr>
        <w:i/>
      </w:rPr>
      <w:t>Journal homepage: http://journal.uad.ac.id/index.php/TELKOMNIKA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53D5" w:rsidRDefault="00F753D5">
      <w:r>
        <w:separator/>
      </w:r>
    </w:p>
  </w:footnote>
  <w:footnote w:type="continuationSeparator" w:id="0">
    <w:p w:rsidR="00F753D5" w:rsidRDefault="00F753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018B" w:rsidRPr="005936BD" w:rsidRDefault="0009018B" w:rsidP="00227BF2">
    <w:pPr>
      <w:pStyle w:val="Header"/>
      <w:ind w:right="45"/>
      <w:rPr>
        <w:b/>
        <w:bCs/>
      </w:rPr>
    </w:pPr>
    <w:r w:rsidRPr="005936BD">
      <w:rPr>
        <w:b/>
        <w:bCs/>
      </w:rPr>
      <w:t>TELKOMNIKA Telecommunication Computing Electronics and Control</w:t>
    </w:r>
  </w:p>
  <w:p w:rsidR="0009018B" w:rsidRPr="00E554F6" w:rsidRDefault="0009018B" w:rsidP="00227BF2">
    <w:pPr>
      <w:pStyle w:val="Header"/>
      <w:ind w:right="45"/>
    </w:pPr>
    <w:bookmarkStart w:id="1" w:name="_Hlk80000548"/>
    <w:r w:rsidRPr="00E554F6">
      <w:t>Vol. 99, No. 1, Month 2099, pp. 1~1x</w:t>
    </w:r>
  </w:p>
  <w:bookmarkEnd w:id="1"/>
  <w:p w:rsidR="0009018B" w:rsidRDefault="0009018B" w:rsidP="007957DE">
    <w:pPr>
      <w:pStyle w:val="Header"/>
      <w:tabs>
        <w:tab w:val="left" w:pos="8647"/>
      </w:tabs>
      <w:rPr>
        <w:rStyle w:val="PageNumber"/>
      </w:rPr>
    </w:pPr>
    <w:r w:rsidRPr="005936BD">
      <w:t xml:space="preserve">ISSN: </w:t>
    </w:r>
    <w:bookmarkStart w:id="2" w:name="_Hlk24008550"/>
    <w:r w:rsidRPr="005936BD">
      <w:t>1693-6930</w:t>
    </w:r>
    <w:bookmarkEnd w:id="2"/>
    <w:r w:rsidRPr="005936BD">
      <w:t>, DOI: 10.12928/TELKOMNIKA.v</w:t>
    </w:r>
    <w:r>
      <w:t>99</w:t>
    </w:r>
    <w:r w:rsidRPr="005936BD">
      <w:t>i</w:t>
    </w:r>
    <w:r>
      <w:t>1</w:t>
    </w:r>
    <w:r w:rsidRPr="005936BD">
      <w:t>.paper</w:t>
    </w:r>
    <w:r>
      <w:t>ID</w:t>
    </w:r>
    <w:r w:rsidRPr="003D5B84">
      <w:tab/>
    </w:r>
    <w:r>
      <w:sym w:font="Wingdings" w:char="F072"/>
    </w:r>
    <w:r w:rsidRPr="003D5B84">
      <w:t xml:space="preserve">    </w:t>
    </w:r>
    <w:r w:rsidRPr="003D5B84">
      <w:tab/>
    </w:r>
    <w:r w:rsidRPr="003D5B84">
      <w:rPr>
        <w:rStyle w:val="PageNumber"/>
      </w:rPr>
      <w:fldChar w:fldCharType="begin"/>
    </w:r>
    <w:r w:rsidRPr="003D5B84">
      <w:rPr>
        <w:rStyle w:val="PageNumber"/>
      </w:rPr>
      <w:instrText xml:space="preserve"> PAGE </w:instrText>
    </w:r>
    <w:r w:rsidRPr="003D5B84">
      <w:rPr>
        <w:rStyle w:val="PageNumber"/>
      </w:rPr>
      <w:fldChar w:fldCharType="separate"/>
    </w:r>
    <w:r w:rsidR="00420858">
      <w:rPr>
        <w:rStyle w:val="PageNumber"/>
        <w:noProof/>
      </w:rPr>
      <w:t>2</w:t>
    </w:r>
    <w:r w:rsidRPr="003D5B84">
      <w:rPr>
        <w:rStyle w:val="PageNumber"/>
      </w:rPr>
      <w:fldChar w:fldCharType="end"/>
    </w:r>
    <w:r w:rsidRPr="003D5B84">
      <w:rPr>
        <w:rStyle w:val="PageNumber"/>
      </w:rPr>
      <w:tab/>
    </w:r>
  </w:p>
  <w:p w:rsidR="0009018B" w:rsidRPr="00227BF2" w:rsidRDefault="0009018B" w:rsidP="00227BF2">
    <w:pPr>
      <w:pStyle w:val="Header"/>
    </w:pPr>
    <w:r>
      <w:rPr>
        <w:noProof/>
      </w:rPr>
      <mc:AlternateContent>
        <mc:Choice Requires="wps">
          <w:drawing>
            <wp:anchor distT="0" distB="0" distL="114300" distR="114300" simplePos="0" relativeHeight="251659264" behindDoc="0" locked="0" layoutInCell="1" allowOverlap="1" wp14:anchorId="7E9E8764" wp14:editId="22BCFFAA">
              <wp:simplePos x="0" y="0"/>
              <wp:positionH relativeFrom="column">
                <wp:posOffset>-22860</wp:posOffset>
              </wp:positionH>
              <wp:positionV relativeFrom="paragraph">
                <wp:posOffset>33020</wp:posOffset>
              </wp:positionV>
              <wp:extent cx="5939790" cy="0"/>
              <wp:effectExtent l="0" t="0" r="22860" b="1905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 o:spid="_x0000_s1026" type="#_x0000_t32" style="position:absolute;margin-left:-1.8pt;margin-top:2.6pt;width:467.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T+yHgIAADsEAAAOAAAAZHJzL2Uyb0RvYy54bWysU8GO2jAQvVfqP1i5QxI2sCQirFYJ9LJt&#10;kXb7AcZ2EquObdmGgKr+e8eGILa9VFU5mHFm5s2beePV06kX6MiM5UqWUTpNIsQkUZTLtoy+vW0n&#10;ywhZhyXFQklWRmdmo6f1xw+rQRdspjolKDMIQKQtBl1GnXO6iGNLOtZjO1WaSXA2yvTYwdW0MTV4&#10;APRexLMkWcSDMlQbRZi18LW+OKN1wG8aRtzXprHMIVFGwM2F04Rz7894vcJFa7DuOLnSwP/Aosdc&#10;QtEbVI0dRgfD/4DqOTHKqsZNiepj1TScsNADdJMmv3Xz2mHNQi8wHKtvY7L/D5Z8Oe4M4hS0i5DE&#10;PUj0fHAqVEYLP55B2wKiKrkzvkFykq/6RZHvFklVdVi2LAS/nTXkpj4jfpfiL1ZDkf3wWVGIwYAf&#10;ZnVqTO8hYQroFCQ53yRhJ4cIfJznD/ljDsqR0RfjYkzUxrpPTPXIG2VkncG87VylpAThlUlDGXx8&#10;sc7TwsWY4KtKteVCBP2FREMZ5fPZPCRYJTj1Th9mTbuvhEFH7Dco/EKP4LkPM+ogaQDrGKabq+0w&#10;Fxcbigvp8aAxoHO1LivyI0/yzXKzzCbZbLGZZEldT563VTZZbNPHef1QV1Wd/vTU0qzoOKVMenbj&#10;uqbZ363D9eFcFu22sLcxxO/Rw7yA7PgfSAdlvZiXtdgret6ZUXHY0BB8fU3+Cdzfwb5/8+tfAAAA&#10;//8DAFBLAwQUAAYACAAAACEAMvdOSNsAAAAGAQAADwAAAGRycy9kb3ducmV2LnhtbEyPzW7CMBCE&#10;75V4B2uReqnASRCopHEQqtRDj/xIvZp4mwTidRQ7JOXpu/RSjqMZzXyTbUbbiCt2vnakIJ5HIJAK&#10;Z2oqFRwPH7NXED5oMrpxhAp+0MMmnzxlOjVuoB1e96EUXEI+1QqqENpUSl9UaLWfuxaJvW/XWR1Y&#10;dqU0nR643DYyiaKVtLomXqh0i+8VFpd9bxWg75dxtF3b8vh5G16+ktt5aA9KPU/H7RuIgGP4D8Md&#10;n9EhZ6aT68l40SiYLVacVLBMQLC9XsT85PSnZZ7JR/z8FwAA//8DAFBLAQItABQABgAIAAAAIQC2&#10;gziS/gAAAOEBAAATAAAAAAAAAAAAAAAAAAAAAABbQ29udGVudF9UeXBlc10ueG1sUEsBAi0AFAAG&#10;AAgAAAAhADj9If/WAAAAlAEAAAsAAAAAAAAAAAAAAAAALwEAAF9yZWxzLy5yZWxzUEsBAi0AFAAG&#10;AAgAAAAhAA9RP7IeAgAAOwQAAA4AAAAAAAAAAAAAAAAALgIAAGRycy9lMm9Eb2MueG1sUEsBAi0A&#10;FAAGAAgAAAAhADL3TkjbAAAABgEAAA8AAAAAAAAAAAAAAAAAeAQAAGRycy9kb3ducmV2LnhtbFBL&#10;BQYAAAAABAAEAPMAAACABQAAAAA=&#10;"/>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756E" w:rsidRPr="005936BD" w:rsidRDefault="00E9756E" w:rsidP="00E9756E">
    <w:pPr>
      <w:pStyle w:val="Header"/>
      <w:ind w:right="45"/>
      <w:rPr>
        <w:b/>
        <w:bCs/>
      </w:rPr>
    </w:pPr>
    <w:r w:rsidRPr="005936BD">
      <w:rPr>
        <w:b/>
        <w:bCs/>
      </w:rPr>
      <w:t>TELKOMNIKA Telecommunication Computing Electronics and Control</w:t>
    </w:r>
  </w:p>
  <w:p w:rsidR="00E9756E" w:rsidRPr="00E554F6" w:rsidRDefault="00E9756E" w:rsidP="00E9756E">
    <w:pPr>
      <w:pStyle w:val="Header"/>
      <w:ind w:right="45"/>
    </w:pPr>
    <w:r w:rsidRPr="00E554F6">
      <w:t>Vol. 99, No. 1, Month 2099, pp. 1~1x</w:t>
    </w:r>
  </w:p>
  <w:p w:rsidR="00E9756E" w:rsidRDefault="00E9756E" w:rsidP="00E9756E">
    <w:pPr>
      <w:pStyle w:val="Header"/>
      <w:tabs>
        <w:tab w:val="left" w:pos="7938"/>
        <w:tab w:val="right" w:pos="8789"/>
      </w:tabs>
      <w:rPr>
        <w:rStyle w:val="PageNumber"/>
      </w:rPr>
    </w:pPr>
    <w:r w:rsidRPr="005936BD">
      <w:t>ISSN: 1693-6930, DOI: 10.12928/TELKOMNIKA.v</w:t>
    </w:r>
    <w:r>
      <w:t>99</w:t>
    </w:r>
    <w:r w:rsidRPr="005936BD">
      <w:t>i</w:t>
    </w:r>
    <w:r>
      <w:t>1</w:t>
    </w:r>
    <w:r w:rsidRPr="005936BD">
      <w:t>.paper</w:t>
    </w:r>
    <w:r>
      <w:t>ID</w:t>
    </w:r>
    <w:r w:rsidRPr="003D5B84">
      <w:tab/>
    </w:r>
    <w:r>
      <w:sym w:font="Wingdings" w:char="F072"/>
    </w:r>
    <w:r w:rsidRPr="003D5B84">
      <w:t xml:space="preserve">    </w:t>
    </w:r>
    <w:r w:rsidRPr="003D5B84">
      <w:tab/>
    </w:r>
    <w:r w:rsidRPr="003D5B84">
      <w:rPr>
        <w:rStyle w:val="PageNumber"/>
      </w:rPr>
      <w:fldChar w:fldCharType="begin"/>
    </w:r>
    <w:r w:rsidRPr="003D5B84">
      <w:rPr>
        <w:rStyle w:val="PageNumber"/>
      </w:rPr>
      <w:instrText xml:space="preserve"> PAGE </w:instrText>
    </w:r>
    <w:r w:rsidRPr="003D5B84">
      <w:rPr>
        <w:rStyle w:val="PageNumber"/>
      </w:rPr>
      <w:fldChar w:fldCharType="separate"/>
    </w:r>
    <w:r w:rsidR="00420858">
      <w:rPr>
        <w:rStyle w:val="PageNumber"/>
        <w:noProof/>
      </w:rPr>
      <w:t>1</w:t>
    </w:r>
    <w:r w:rsidRPr="003D5B84">
      <w:rPr>
        <w:rStyle w:val="PageNumber"/>
      </w:rPr>
      <w:fldChar w:fldCharType="end"/>
    </w:r>
    <w:r>
      <w:rPr>
        <w:noProof/>
      </w:rPr>
      <mc:AlternateContent>
        <mc:Choice Requires="wps">
          <w:drawing>
            <wp:anchor distT="0" distB="0" distL="114300" distR="114300" simplePos="0" relativeHeight="251663360" behindDoc="0" locked="0" layoutInCell="1" allowOverlap="1" wp14:anchorId="3994A1D1" wp14:editId="1610A82B">
              <wp:simplePos x="0" y="0"/>
              <wp:positionH relativeFrom="column">
                <wp:posOffset>-19050</wp:posOffset>
              </wp:positionH>
              <wp:positionV relativeFrom="paragraph">
                <wp:posOffset>180975</wp:posOffset>
              </wp:positionV>
              <wp:extent cx="5616000" cy="0"/>
              <wp:effectExtent l="0" t="0" r="0" b="0"/>
              <wp:wrapNone/>
              <wp:docPr id="7"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 o:spid="_x0000_s1026" type="#_x0000_t32" style="position:absolute;margin-left:-1.5pt;margin-top:14.25pt;width:442.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glbHgIAADsEAAAOAAAAZHJzL2Uyb0RvYy54bWysU8GO2jAQvVfqP1i+QxIashARVqsEetl2&#10;kXb7AcZ2EquJbdmGgKr+e8eGILa9VFU5mHFm5s2beePV46nv0JEbK5QscDKNMeKSKiZkU+Bvb9vJ&#10;AiPriGSkU5IX+Mwtflx//LAadM5nqlUd4wYBiLT5oAvcOqfzKLK05T2xU6W5BGetTE8cXE0TMUMG&#10;QO+7aBbHWTQow7RRlFsLX6uLE68Dfl1z6l7q2nKHugIDNxdOE869P6P1iuSNIboV9EqD/AOLnggJ&#10;RW9QFXEEHYz4A6oX1Cirajelqo9UXQvKQw/QTRL/1s1rSzQPvcBwrL6Nyf4/WPr1uDNIsAI/YCRJ&#10;DxI9HZwKlVHmxzNom0NUKXfGN0hP8lU/K/rdIqnKlsiGh+C3s4bcxGdE71L8xWoosh++KAYxBPDD&#10;rE616T0kTAGdgiTnmyT85BCFj/MsyeIYlKOjLyL5mKiNdZ+56pE3CmydIaJpXamkBOGVSUIZcny2&#10;ztMi+Zjgq0q1FV0X9O8kGgq8nM/mIcGqTjDv9GHWNPuyM+hI/AaFX+gRPPdhRh0kC2AtJ2xztR0R&#10;3cWG4p30eNAY0LlalxX5sYyXm8VmkU7SWbaZpHFVTZ62ZTrJtsnDvPpUlWWV/PTUkjRvBWNcenbj&#10;uibp363D9eFcFu22sLcxRO/Rw7yA7PgfSAdlvZiXtdgrdt6ZUXHY0BB8fU3+Cdzfwb5/8+tfAAAA&#10;//8DAFBLAwQUAAYACAAAACEADG3DCN4AAAAIAQAADwAAAGRycy9kb3ducmV2LnhtbEyPwU7DMBBE&#10;70j8g7WVuKDWSWhRGuJUFRIHjrSVuG7jbRIar6PYaUK/HqMe4Dg7q5k3+WYyrbhQ7xrLCuJFBIK4&#10;tLrhSsFh/zZPQTiPrLG1TAq+ycGmuL/LMdN25A+67HwlQgi7DBXU3neZlK6syaBb2I44eCfbG/RB&#10;9pXUPY4h3LQyiaJnabDh0FBjR681lefdYBSQG1ZxtF2b6vB+HR8/k+vX2O2VephN2xcQnib/9wy/&#10;+AEdisB0tANrJ1oF86cwxStI0hWI4KdpvARxvB1kkcv/A4ofAAAA//8DAFBLAQItABQABgAIAAAA&#10;IQC2gziS/gAAAOEBAAATAAAAAAAAAAAAAAAAAAAAAABbQ29udGVudF9UeXBlc10ueG1sUEsBAi0A&#10;FAAGAAgAAAAhADj9If/WAAAAlAEAAAsAAAAAAAAAAAAAAAAALwEAAF9yZWxzLy5yZWxzUEsBAi0A&#10;FAAGAAgAAAAhAJiCCVseAgAAOwQAAA4AAAAAAAAAAAAAAAAALgIAAGRycy9lMm9Eb2MueG1sUEsB&#10;Ai0AFAAGAAgAAAAhAAxtwwjeAAAACAEAAA8AAAAAAAAAAAAAAAAAeAQAAGRycy9kb3ducmV2Lnht&#10;bFBLBQYAAAAABAAEAPMAAACDBQAAAAA=&#10;"/>
          </w:pict>
        </mc:Fallback>
      </mc:AlternateContent>
    </w:r>
    <w:r w:rsidRPr="003D5B84">
      <w:rPr>
        <w:rStyle w:val="PageNumber"/>
      </w:rPr>
      <w:tab/>
    </w:r>
  </w:p>
  <w:p w:rsidR="00E9756E" w:rsidRDefault="00E9756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33C0" w:rsidRPr="003D5B84" w:rsidRDefault="004133C0" w:rsidP="00832CB1">
    <w:pPr>
      <w:pStyle w:val="Header"/>
      <w:tabs>
        <w:tab w:val="clear" w:pos="4680"/>
        <w:tab w:val="clear" w:pos="9360"/>
      </w:tabs>
    </w:pPr>
    <w:r>
      <w:rPr>
        <w:noProof/>
      </w:rPr>
      <mc:AlternateContent>
        <mc:Choice Requires="wps">
          <w:drawing>
            <wp:anchor distT="0" distB="0" distL="114300" distR="114300" simplePos="0" relativeHeight="251661312" behindDoc="0" locked="0" layoutInCell="1" allowOverlap="1" wp14:anchorId="0ECD665B" wp14:editId="78DC60A3">
              <wp:simplePos x="0" y="0"/>
              <wp:positionH relativeFrom="column">
                <wp:posOffset>-15291</wp:posOffset>
              </wp:positionH>
              <wp:positionV relativeFrom="paragraph">
                <wp:posOffset>179680</wp:posOffset>
              </wp:positionV>
              <wp:extent cx="5939943" cy="0"/>
              <wp:effectExtent l="0" t="0" r="22860" b="1905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94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7" o:spid="_x0000_s1026" type="#_x0000_t32" style="position:absolute;margin-left:-1.2pt;margin-top:14.15pt;width:467.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K/HgIAADsEAAAOAAAAZHJzL2Uyb0RvYy54bWysU82O2jAQvlfqO1i+QxIIuyQirFYJ9LJt&#10;kXb7AMZ2EquJbdmGgKq+e8eGILa9VFVzcMaemW+++Vs9nfoOHbmxQskCJ9MYIy6pYkI2Bf72tp0s&#10;MbKOSEY6JXmBz9zip/XHD6tB53ymWtUxbhCASJsPusCtczqPIktb3hM7VZpLUNbK9MTB1TQRM2QA&#10;9L6LZnH8EA3KMG0U5dbCa3VR4nXAr2tO3de6ttyhrsDAzYXThHPvz2i9InljiG4FvdIg/8CiJ0JC&#10;0BtURRxBByP+gOoFNcqq2k2p6iNV14LykANkk8S/ZfPaEs1DLlAcq29lsv8Pln457gwSrMBzjCTp&#10;oUXPB6dCZPToyzNom4NVKXfGJ0hP8lW/KPrdIqnKlsiGB+O3swbfxHtE71z8xWoIsh8+KwY2BPBD&#10;rU616T0kVAGdQkvOt5bwk0MUHhfZPMtS4EZHXUTy0VEb6z5x1SMvFNg6Q0TTulJJCY1XJglhyPHF&#10;Ok+L5KODjyrVVnRd6H8n0VDgbDFbBAerOsG80ptZ0+zLzqAj8RMUvpAjaO7NjDpIFsBaTtjmKjsi&#10;uosMwTvp8SAxoHOVLiPyI4uzzXKzTCfp7GEzSeOqmjxvy3TysE0eF9W8Kssq+empJWneCsa49OzG&#10;cU3SvxuH6+JcBu02sLcyRO/RQ72A7PgPpENnfTMvY7FX7LwzY8dhQoPxdZv8CtzfQb7f+fUvAAAA&#10;//8DAFBLAwQUAAYACAAAACEAnoR3At0AAAAIAQAADwAAAGRycy9kb3ducmV2LnhtbEyPwW7CMBBE&#10;75X6D9Yi9VKBQ9JWEOIgVKmHHgtIvZp4mwTidRQ7JOXru4hDOe7MaPZNth5tI87Y+dqRgvksAoFU&#10;OFNTqWC/+5guQPigyejGESr4RQ/r/PEh06lxA33heRtKwSXkU62gCqFNpfRFhVb7mWuR2PtxndWB&#10;z66UptMDl9tGxlH0Jq2uiT9UusX3CovTtrcK0Pev82iztOX+8zI8f8eX49DulHqajJsViIBj+A/D&#10;FZ/RIWemg+vJeNEomMYvnFQQLxIQ7C+ThLcdboLMM3k/IP8DAAD//wMAUEsBAi0AFAAGAAgAAAAh&#10;ALaDOJL+AAAA4QEAABMAAAAAAAAAAAAAAAAAAAAAAFtDb250ZW50X1R5cGVzXS54bWxQSwECLQAU&#10;AAYACAAAACEAOP0h/9YAAACUAQAACwAAAAAAAAAAAAAAAAAvAQAAX3JlbHMvLnJlbHNQSwECLQAU&#10;AAYACAAAACEA2Ofyvx4CAAA7BAAADgAAAAAAAAAAAAAAAAAuAgAAZHJzL2Uyb0RvYy54bWxQSwEC&#10;LQAUAAYACAAAACEAnoR3At0AAAAIAQAADwAAAAAAAAAAAAAAAAB4BAAAZHJzL2Rvd25yZXYueG1s&#10;UEsFBgAAAAAEAAQA8wAAAIIFAAAAAA==&#10;"/>
          </w:pict>
        </mc:Fallback>
      </mc:AlternateContent>
    </w:r>
    <w:r w:rsidR="00241C8B" w:rsidRPr="003D5B84">
      <w:rPr>
        <w:rStyle w:val="PageNumber"/>
      </w:rPr>
      <w:fldChar w:fldCharType="begin"/>
    </w:r>
    <w:r w:rsidR="00241C8B" w:rsidRPr="003D5B84">
      <w:rPr>
        <w:rStyle w:val="PageNumber"/>
      </w:rPr>
      <w:instrText xml:space="preserve"> PAGE </w:instrText>
    </w:r>
    <w:r w:rsidR="00241C8B" w:rsidRPr="003D5B84">
      <w:rPr>
        <w:rStyle w:val="PageNumber"/>
      </w:rPr>
      <w:fldChar w:fldCharType="separate"/>
    </w:r>
    <w:r w:rsidR="00420858">
      <w:rPr>
        <w:rStyle w:val="PageNumber"/>
        <w:noProof/>
      </w:rPr>
      <w:t>6</w:t>
    </w:r>
    <w:r w:rsidR="00241C8B" w:rsidRPr="003D5B84">
      <w:rPr>
        <w:rStyle w:val="PageNumber"/>
      </w:rPr>
      <w:fldChar w:fldCharType="end"/>
    </w:r>
    <w:r w:rsidR="00241C8B">
      <w:t xml:space="preserve"> </w:t>
    </w:r>
    <w:r>
      <w:sym w:font="Wingdings" w:char="F072"/>
    </w:r>
    <w:r w:rsidRPr="003D5B84">
      <w:t xml:space="preserve"> </w:t>
    </w:r>
    <w:r w:rsidRPr="003D5B84">
      <w:tab/>
    </w:r>
    <w:r w:rsidRPr="003D5B84">
      <w:tab/>
      <w:t xml:space="preserve">     </w:t>
    </w:r>
    <w:r w:rsidR="00241C8B">
      <w:tab/>
    </w:r>
    <w:r w:rsidRPr="003D5B84">
      <w:t xml:space="preserve">  </w:t>
    </w:r>
    <w:r w:rsidR="00241C8B">
      <w:tab/>
    </w:r>
    <w:r w:rsidR="00241C8B">
      <w:tab/>
    </w:r>
    <w:r w:rsidR="00241C8B">
      <w:tab/>
    </w:r>
    <w:r w:rsidR="00241C8B">
      <w:tab/>
    </w:r>
    <w:r w:rsidR="00241C8B">
      <w:tab/>
    </w:r>
    <w:r w:rsidR="00241C8B">
      <w:tab/>
    </w:r>
    <w:r w:rsidR="00241C8B">
      <w:tab/>
    </w:r>
    <w:r w:rsidR="00241C8B">
      <w:tab/>
    </w:r>
    <w:r w:rsidRPr="003D5B84">
      <w:t>ISSN</w:t>
    </w:r>
    <w:r>
      <w:t>:</w:t>
    </w:r>
    <w:r w:rsidRPr="003D5B84">
      <w:t xml:space="preserve"> </w:t>
    </w:r>
    <w:bookmarkStart w:id="3" w:name="_Hlk24008618"/>
    <w:r w:rsidRPr="008B3F47">
      <w:t>1693-6930</w:t>
    </w:r>
    <w:bookmarkEnd w:id="3"/>
  </w:p>
  <w:p w:rsidR="004133C0" w:rsidRPr="004133C0" w:rsidRDefault="004133C0" w:rsidP="004133C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7E54EA"/>
    <w:multiLevelType w:val="hybridMultilevel"/>
    <w:tmpl w:val="D084EAF0"/>
    <w:lvl w:ilvl="0" w:tplc="8F786534">
      <w:start w:val="1"/>
      <w:numFmt w:val="bullet"/>
      <w:lvlText w:val="●"/>
      <w:lvlJc w:val="left"/>
      <w:pPr>
        <w:ind w:left="720" w:hanging="360"/>
      </w:pPr>
    </w:lvl>
    <w:lvl w:ilvl="1" w:tplc="F000C034">
      <w:start w:val="1"/>
      <w:numFmt w:val="bullet"/>
      <w:lvlText w:val="○"/>
      <w:lvlJc w:val="left"/>
      <w:pPr>
        <w:ind w:left="1440" w:hanging="360"/>
      </w:pPr>
    </w:lvl>
    <w:lvl w:ilvl="2" w:tplc="3300DB5C">
      <w:start w:val="1"/>
      <w:numFmt w:val="bullet"/>
      <w:lvlText w:val="■"/>
      <w:lvlJc w:val="left"/>
      <w:pPr>
        <w:ind w:left="2160" w:hanging="360"/>
      </w:pPr>
    </w:lvl>
    <w:lvl w:ilvl="3" w:tplc="ED125492">
      <w:start w:val="1"/>
      <w:numFmt w:val="bullet"/>
      <w:lvlText w:val="●"/>
      <w:lvlJc w:val="left"/>
      <w:pPr>
        <w:ind w:left="2880" w:hanging="360"/>
      </w:pPr>
    </w:lvl>
    <w:lvl w:ilvl="4" w:tplc="FB347D9E">
      <w:start w:val="1"/>
      <w:numFmt w:val="bullet"/>
      <w:lvlText w:val="○"/>
      <w:lvlJc w:val="left"/>
      <w:pPr>
        <w:ind w:left="3600" w:hanging="360"/>
      </w:pPr>
    </w:lvl>
    <w:lvl w:ilvl="5" w:tplc="7504B728">
      <w:start w:val="1"/>
      <w:numFmt w:val="bullet"/>
      <w:lvlText w:val="■"/>
      <w:lvlJc w:val="left"/>
      <w:pPr>
        <w:ind w:left="4320" w:hanging="360"/>
      </w:pPr>
    </w:lvl>
    <w:lvl w:ilvl="6" w:tplc="12D4AC3A">
      <w:start w:val="1"/>
      <w:numFmt w:val="bullet"/>
      <w:lvlText w:val="●"/>
      <w:lvlJc w:val="left"/>
      <w:pPr>
        <w:ind w:left="5040" w:hanging="360"/>
      </w:pPr>
    </w:lvl>
    <w:lvl w:ilvl="7" w:tplc="D7D0CBC8">
      <w:start w:val="1"/>
      <w:numFmt w:val="bullet"/>
      <w:lvlText w:val="●"/>
      <w:lvlJc w:val="left"/>
      <w:pPr>
        <w:ind w:left="5760" w:hanging="360"/>
      </w:pPr>
    </w:lvl>
    <w:lvl w:ilvl="8" w:tplc="4B94C72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1C60A6"/>
    <w:rsid w:val="0009018B"/>
    <w:rsid w:val="001C60A6"/>
    <w:rsid w:val="00227BF2"/>
    <w:rsid w:val="00241C8B"/>
    <w:rsid w:val="004133C0"/>
    <w:rsid w:val="00420858"/>
    <w:rsid w:val="007957DE"/>
    <w:rsid w:val="00832CB1"/>
    <w:rsid w:val="00866CF7"/>
    <w:rsid w:val="00C76D4E"/>
    <w:rsid w:val="00E9756E"/>
    <w:rsid w:val="00F753D5"/>
    <w:rsid w:val="00FA6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0858"/>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nhideWhenUsed/>
    <w:rsid w:val="00227BF2"/>
    <w:pPr>
      <w:tabs>
        <w:tab w:val="center" w:pos="4680"/>
        <w:tab w:val="right" w:pos="9360"/>
      </w:tabs>
    </w:pPr>
  </w:style>
  <w:style w:type="character" w:customStyle="1" w:styleId="HeaderChar">
    <w:name w:val="Header Char"/>
    <w:basedOn w:val="DefaultParagraphFont"/>
    <w:link w:val="Header"/>
    <w:rsid w:val="00227BF2"/>
  </w:style>
  <w:style w:type="paragraph" w:styleId="Footer">
    <w:name w:val="footer"/>
    <w:basedOn w:val="Normal"/>
    <w:link w:val="FooterChar"/>
    <w:uiPriority w:val="99"/>
    <w:unhideWhenUsed/>
    <w:rsid w:val="00227BF2"/>
    <w:pPr>
      <w:tabs>
        <w:tab w:val="center" w:pos="4680"/>
        <w:tab w:val="right" w:pos="9360"/>
      </w:tabs>
    </w:pPr>
  </w:style>
  <w:style w:type="character" w:customStyle="1" w:styleId="FooterChar">
    <w:name w:val="Footer Char"/>
    <w:basedOn w:val="DefaultParagraphFont"/>
    <w:link w:val="Footer"/>
    <w:uiPriority w:val="99"/>
    <w:rsid w:val="00227BF2"/>
  </w:style>
  <w:style w:type="character" w:styleId="PageNumber">
    <w:name w:val="page number"/>
    <w:basedOn w:val="DefaultParagraphFont"/>
    <w:rsid w:val="00227BF2"/>
  </w:style>
  <w:style w:type="paragraph" w:styleId="BalloonText">
    <w:name w:val="Balloon Text"/>
    <w:basedOn w:val="Normal"/>
    <w:link w:val="BalloonTextChar"/>
    <w:uiPriority w:val="99"/>
    <w:semiHidden/>
    <w:unhideWhenUsed/>
    <w:rsid w:val="00227BF2"/>
    <w:rPr>
      <w:rFonts w:ascii="Tahoma" w:hAnsi="Tahoma" w:cs="Tahoma"/>
      <w:sz w:val="16"/>
      <w:szCs w:val="16"/>
    </w:rPr>
  </w:style>
  <w:style w:type="character" w:customStyle="1" w:styleId="BalloonTextChar">
    <w:name w:val="Balloon Text Char"/>
    <w:basedOn w:val="DefaultParagraphFont"/>
    <w:link w:val="BalloonText"/>
    <w:uiPriority w:val="99"/>
    <w:semiHidden/>
    <w:rsid w:val="00227BF2"/>
    <w:rPr>
      <w:rFonts w:ascii="Tahoma" w:hAnsi="Tahoma" w:cs="Tahoma"/>
      <w:sz w:val="16"/>
      <w:szCs w:val="16"/>
    </w:rPr>
  </w:style>
  <w:style w:type="paragraph" w:styleId="Caption">
    <w:name w:val="caption"/>
    <w:basedOn w:val="Normal"/>
    <w:next w:val="Normal"/>
    <w:uiPriority w:val="35"/>
    <w:unhideWhenUsed/>
    <w:qFormat/>
    <w:rsid w:val="00866CF7"/>
    <w:pPr>
      <w:spacing w:after="200"/>
    </w:pPr>
    <w:rPr>
      <w:b/>
      <w:bCs/>
      <w:color w:val="4F81BD" w:themeColor="accent1"/>
      <w:sz w:val="18"/>
      <w:szCs w:val="18"/>
    </w:rPr>
  </w:style>
  <w:style w:type="table" w:styleId="TableGrid">
    <w:name w:val="Table Grid"/>
    <w:basedOn w:val="TableNormal"/>
    <w:uiPriority w:val="39"/>
    <w:rsid w:val="0042085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0858"/>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nhideWhenUsed/>
    <w:rsid w:val="00227BF2"/>
    <w:pPr>
      <w:tabs>
        <w:tab w:val="center" w:pos="4680"/>
        <w:tab w:val="right" w:pos="9360"/>
      </w:tabs>
    </w:pPr>
  </w:style>
  <w:style w:type="character" w:customStyle="1" w:styleId="HeaderChar">
    <w:name w:val="Header Char"/>
    <w:basedOn w:val="DefaultParagraphFont"/>
    <w:link w:val="Header"/>
    <w:rsid w:val="00227BF2"/>
  </w:style>
  <w:style w:type="paragraph" w:styleId="Footer">
    <w:name w:val="footer"/>
    <w:basedOn w:val="Normal"/>
    <w:link w:val="FooterChar"/>
    <w:uiPriority w:val="99"/>
    <w:unhideWhenUsed/>
    <w:rsid w:val="00227BF2"/>
    <w:pPr>
      <w:tabs>
        <w:tab w:val="center" w:pos="4680"/>
        <w:tab w:val="right" w:pos="9360"/>
      </w:tabs>
    </w:pPr>
  </w:style>
  <w:style w:type="character" w:customStyle="1" w:styleId="FooterChar">
    <w:name w:val="Footer Char"/>
    <w:basedOn w:val="DefaultParagraphFont"/>
    <w:link w:val="Footer"/>
    <w:uiPriority w:val="99"/>
    <w:rsid w:val="00227BF2"/>
  </w:style>
  <w:style w:type="character" w:styleId="PageNumber">
    <w:name w:val="page number"/>
    <w:basedOn w:val="DefaultParagraphFont"/>
    <w:rsid w:val="00227BF2"/>
  </w:style>
  <w:style w:type="paragraph" w:styleId="BalloonText">
    <w:name w:val="Balloon Text"/>
    <w:basedOn w:val="Normal"/>
    <w:link w:val="BalloonTextChar"/>
    <w:uiPriority w:val="99"/>
    <w:semiHidden/>
    <w:unhideWhenUsed/>
    <w:rsid w:val="00227BF2"/>
    <w:rPr>
      <w:rFonts w:ascii="Tahoma" w:hAnsi="Tahoma" w:cs="Tahoma"/>
      <w:sz w:val="16"/>
      <w:szCs w:val="16"/>
    </w:rPr>
  </w:style>
  <w:style w:type="character" w:customStyle="1" w:styleId="BalloonTextChar">
    <w:name w:val="Balloon Text Char"/>
    <w:basedOn w:val="DefaultParagraphFont"/>
    <w:link w:val="BalloonText"/>
    <w:uiPriority w:val="99"/>
    <w:semiHidden/>
    <w:rsid w:val="00227BF2"/>
    <w:rPr>
      <w:rFonts w:ascii="Tahoma" w:hAnsi="Tahoma" w:cs="Tahoma"/>
      <w:sz w:val="16"/>
      <w:szCs w:val="16"/>
    </w:rPr>
  </w:style>
  <w:style w:type="paragraph" w:styleId="Caption">
    <w:name w:val="caption"/>
    <w:basedOn w:val="Normal"/>
    <w:next w:val="Normal"/>
    <w:uiPriority w:val="35"/>
    <w:unhideWhenUsed/>
    <w:qFormat/>
    <w:rsid w:val="00866CF7"/>
    <w:pPr>
      <w:spacing w:after="200"/>
    </w:pPr>
    <w:rPr>
      <w:b/>
      <w:bCs/>
      <w:color w:val="4F81BD" w:themeColor="accent1"/>
      <w:sz w:val="18"/>
      <w:szCs w:val="18"/>
    </w:rPr>
  </w:style>
  <w:style w:type="table" w:styleId="TableGrid">
    <w:name w:val="Table Grid"/>
    <w:basedOn w:val="TableNormal"/>
    <w:uiPriority w:val="39"/>
    <w:rsid w:val="0042085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yperlink" Target="https://creativecommons.org/licenses/by-sa/4.0/"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0E6E68-B00F-4FB0-9C9B-6D2C2B7A4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10</Pages>
  <Words>6135</Words>
  <Characters>34970</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7</cp:revision>
  <dcterms:created xsi:type="dcterms:W3CDTF">2026-06-02T03:35:00Z</dcterms:created>
  <dcterms:modified xsi:type="dcterms:W3CDTF">2026-06-05T02:29:00Z</dcterms:modified>
</cp:coreProperties>
</file>