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40" w:lineRule="auto"/>
        <w:jc w:val="center"/>
      </w:pPr>
      <w:r>
        <w:rPr>
          <w:rFonts w:ascii="Times New Roman" w:cs="Times New Roman" w:eastAsia="Times New Roman" w:hAnsi="Times New Roman"/>
          <w:b/>
          <w:bCs/>
          <w:i w:val="false"/>
          <w:iCs w:val="false"/>
          <w:color w:val="000000"/>
          <w:sz w:val="24"/>
          <w:szCs w:val="24"/>
        </w:rPr>
        <w:t xml:space="preserve">TELKOMNIKA Telecommunication Computing Electronics and Control</w:t>
      </w:r>
    </w:p>
    <w:p>
      <w:pPr>
        <w:spacing w:after="40" w:before="0" w:line="240" w:lineRule="auto"/>
        <w:jc w:val="center"/>
      </w:pPr>
      <w:r>
        <w:rPr>
          <w:rFonts w:ascii="Times New Roman" w:cs="Times New Roman" w:eastAsia="Times New Roman" w:hAnsi="Times New Roman"/>
          <w:b w:val="false"/>
          <w:bCs w:val="false"/>
          <w:i w:val="false"/>
          <w:iCs w:val="false"/>
          <w:color w:val="000000"/>
          <w:sz w:val="20"/>
          <w:szCs w:val="20"/>
        </w:rPr>
        <w:t xml:space="preserve">Vol. 23, No. 1, February 2025, pp. 1~12</w:t>
      </w:r>
    </w:p>
    <w:p>
      <w:pPr>
        <w:pBdr>
          <w:bottom w:val="single" w:color="000000" w:sz="4" w:space="1"/>
        </w:pBdr>
        <w:spacing w:after="100" w:before="0"/>
        <w:jc w:val="center"/>
      </w:pPr>
      <w:r>
        <w:rPr>
          <w:rFonts w:ascii="Times New Roman" w:cs="Times New Roman" w:eastAsia="Times New Roman" w:hAnsi="Times New Roman"/>
          <w:b w:val="false"/>
          <w:bCs w:val="false"/>
          <w:i w:val="false"/>
          <w:iCs w:val="false"/>
          <w:color w:val="000000"/>
          <w:sz w:val="18"/>
          <w:szCs w:val="18"/>
        </w:rPr>
        <w:t xml:space="preserve">ISSN: 1693-6930, DOI: 10.12928/TELKOMNIKA.v23i1.XXXXX</w:t>
      </w:r>
    </w:p>
    <w:p>
      <w:pPr>
        <w:spacing w:after="100" w:before="200"/>
        <w:jc w:val="center"/>
      </w:pPr>
      <w:r>
        <w:rPr>
          <w:rFonts w:ascii="Times New Roman" w:cs="Times New Roman" w:eastAsia="Times New Roman" w:hAnsi="Times New Roman"/>
          <w:b/>
          <w:bCs/>
          <w:i w:val="false"/>
          <w:iCs w:val="false"/>
          <w:color w:val="000000"/>
          <w:sz w:val="32"/>
          <w:szCs w:val="32"/>
        </w:rPr>
        <w:t xml:space="preserve">Conceptual Model of Nurse Performance Evaluation Based on Clustering and Hybrid Multi-Criteria Decision Making</w:t>
      </w:r>
    </w:p>
    <w:p>
      <w:pPr>
        <w:spacing w:after="60" w:before="60"/>
        <w:jc w:val="center"/>
      </w:pPr>
      <w:r>
        <w:rPr>
          <w:rFonts w:ascii="Times New Roman" w:cs="Times New Roman" w:eastAsia="Times New Roman" w:hAnsi="Times New Roman"/>
          <w:b/>
          <w:bCs/>
          <w:i w:val="false"/>
          <w:iCs w:val="false"/>
          <w:color w:val="000000"/>
          <w:sz w:val="20"/>
          <w:szCs w:val="20"/>
        </w:rPr>
        <w:t xml:space="preserve">Fatkhurrochman</w:t>
      </w:r>
      <w:r>
        <w:rPr>
          <w:rFonts w:ascii="Times New Roman" w:cs="Times New Roman" w:eastAsia="Times New Roman" w:hAnsi="Times New Roman"/>
          <w:b/>
          <w:bCs/>
          <w:i w:val="false"/>
          <w:iCs w:val="false"/>
          <w:color w:val="000000"/>
          <w:sz w:val="20"/>
          <w:szCs w:val="20"/>
          <w:vertAlign w:val="superscript"/>
        </w:rPr>
        <w:t xml:space="preserve">1</w:t>
      </w:r>
      <w:r>
        <w:rPr>
          <w:rFonts w:ascii="Times New Roman" w:cs="Times New Roman" w:eastAsia="Times New Roman" w:hAnsi="Times New Roman"/>
          <w:b/>
          <w:bCs/>
          <w:i w:val="false"/>
          <w:iCs w:val="false"/>
          <w:color w:val="000000"/>
          <w:sz w:val="20"/>
          <w:szCs w:val="20"/>
        </w:rPr>
        <w:t xml:space="preserve">, Kapti</w:t>
      </w:r>
      <w:r>
        <w:rPr>
          <w:rFonts w:ascii="Times New Roman" w:cs="Times New Roman" w:eastAsia="Times New Roman" w:hAnsi="Times New Roman"/>
          <w:b/>
          <w:bCs/>
          <w:i w:val="false"/>
          <w:iCs w:val="false"/>
          <w:color w:val="000000"/>
          <w:sz w:val="20"/>
          <w:szCs w:val="20"/>
          <w:vertAlign w:val="superscript"/>
        </w:rPr>
        <w:t xml:space="preserve">2</w:t>
      </w:r>
      <w:r>
        <w:rPr>
          <w:rFonts w:ascii="Times New Roman" w:cs="Times New Roman" w:eastAsia="Times New Roman" w:hAnsi="Times New Roman"/>
          <w:b/>
          <w:bCs/>
          <w:i w:val="false"/>
          <w:iCs w:val="false"/>
          <w:color w:val="000000"/>
          <w:sz w:val="20"/>
          <w:szCs w:val="20"/>
        </w:rPr>
        <w:t xml:space="preserve">, Muhammad Abdul Muin</w:t>
      </w:r>
      <w:r>
        <w:rPr>
          <w:rFonts w:ascii="Times New Roman" w:cs="Times New Roman" w:eastAsia="Times New Roman" w:hAnsi="Times New Roman"/>
          <w:b/>
          <w:bCs/>
          <w:i w:val="false"/>
          <w:iCs w:val="false"/>
          <w:color w:val="000000"/>
          <w:sz w:val="20"/>
          <w:szCs w:val="20"/>
          <w:vertAlign w:val="superscript"/>
        </w:rPr>
        <w:t xml:space="preserve">3</w:t>
      </w:r>
    </w:p>
    <w:p>
      <w:pPr>
        <w:spacing w:after="0" w:before="0" w:line="200" w:lineRule="auto"/>
        <w:jc w:val="center"/>
      </w:pPr>
      <w:r>
        <w:rPr>
          <w:rFonts w:ascii="Times New Roman" w:cs="Times New Roman" w:eastAsia="Times New Roman" w:hAnsi="Times New Roman"/>
          <w:b w:val="false"/>
          <w:bCs w:val="false"/>
          <w:i w:val="false"/>
          <w:iCs w:val="false"/>
          <w:color w:val="000000"/>
          <w:sz w:val="16"/>
          <w:szCs w:val="16"/>
          <w:vertAlign w:val="superscript"/>
        </w:rPr>
        <w:t xml:space="preserve">1</w:t>
      </w:r>
      <w:r>
        <w:rPr>
          <w:rFonts w:ascii="Times New Roman" w:cs="Times New Roman" w:eastAsia="Times New Roman" w:hAnsi="Times New Roman"/>
          <w:b w:val="false"/>
          <w:bCs w:val="false"/>
          <w:i w:val="false"/>
          <w:iCs w:val="false"/>
          <w:color w:val="000000"/>
          <w:sz w:val="16"/>
          <w:szCs w:val="16"/>
        </w:rPr>
        <w:t xml:space="preserve">Department of Informatics Engineering, Universitas Ma’arif Nahdlatul Ulama Kebumen, Kebumen, Indonesia</w:t>
      </w:r>
    </w:p>
    <w:p>
      <w:pPr>
        <w:spacing w:after="0" w:before="0" w:line="200" w:lineRule="auto"/>
        <w:jc w:val="center"/>
      </w:pPr>
      <w:r>
        <w:rPr>
          <w:rFonts w:ascii="Times New Roman" w:cs="Times New Roman" w:eastAsia="Times New Roman" w:hAnsi="Times New Roman"/>
          <w:b w:val="false"/>
          <w:bCs w:val="false"/>
          <w:i w:val="false"/>
          <w:iCs w:val="false"/>
          <w:color w:val="000000"/>
          <w:sz w:val="16"/>
          <w:szCs w:val="16"/>
          <w:vertAlign w:val="superscript"/>
        </w:rPr>
        <w:t xml:space="preserve">2</w:t>
      </w:r>
      <w:r>
        <w:rPr>
          <w:rFonts w:ascii="Times New Roman" w:cs="Times New Roman" w:eastAsia="Times New Roman" w:hAnsi="Times New Roman"/>
          <w:b w:val="false"/>
          <w:bCs w:val="false"/>
          <w:i w:val="false"/>
          <w:iCs w:val="false"/>
          <w:color w:val="000000"/>
          <w:sz w:val="16"/>
          <w:szCs w:val="16"/>
        </w:rPr>
        <w:t xml:space="preserve">Department of Informatics Engineering, Universitas Ma’arif Nahdlatul Ulama Kebumen, Kebumen, Indonesia</w:t>
      </w:r>
    </w:p>
    <w:p>
      <w:pPr>
        <w:spacing w:after="120" w:before="0" w:line="200" w:lineRule="auto"/>
        <w:jc w:val="center"/>
      </w:pPr>
      <w:r>
        <w:rPr>
          <w:rFonts w:ascii="Times New Roman" w:cs="Times New Roman" w:eastAsia="Times New Roman" w:hAnsi="Times New Roman"/>
          <w:b w:val="false"/>
          <w:bCs w:val="false"/>
          <w:i w:val="false"/>
          <w:iCs w:val="false"/>
          <w:color w:val="000000"/>
          <w:sz w:val="16"/>
          <w:szCs w:val="16"/>
          <w:vertAlign w:val="superscript"/>
        </w:rPr>
        <w:t xml:space="preserve">3</w:t>
      </w:r>
      <w:r>
        <w:rPr>
          <w:rFonts w:ascii="Times New Roman" w:cs="Times New Roman" w:eastAsia="Times New Roman" w:hAnsi="Times New Roman"/>
          <w:b w:val="false"/>
          <w:bCs w:val="false"/>
          <w:i w:val="false"/>
          <w:iCs w:val="false"/>
          <w:color w:val="000000"/>
          <w:sz w:val="16"/>
          <w:szCs w:val="16"/>
        </w:rPr>
        <w:t xml:space="preserve">Department of Information Systems, Universitas Ma’arif Nahdlatul Ulama Kebumen, Kebumen, Indonesia</w:t>
      </w:r>
    </w:p>
    <w:tbl>
      <w:tblPr>
        <w:tblW w:type="dxa" w:w="8788"/>
        <w:tblBorders>
          <w:top w:val="single" w:color="000000" w:sz="4"/>
          <w:left w:val="single" w:color="000000" w:sz="4"/>
          <w:bottom w:val="single" w:color="000000" w:sz="4"/>
          <w:right w:val="single" w:color="000000" w:sz="4"/>
          <w:insideH w:val="single" w:color="auto" w:sz="4"/>
          <w:insideV w:val="single" w:color="auto" w:sz="4"/>
        </w:tblBorders>
      </w:tblPr>
      <w:tblGrid>
        <w:gridCol w:w="2800"/>
        <w:gridCol w:w="200"/>
        <w:gridCol w:w="5788"/>
      </w:tblGrid>
      <w:tr>
        <w:tc>
          <w:tcPr>
            <w:tcW w:type="dxa" w:w="2800"/>
            <w:tcBorders>
              <w:top w:val="none" w:color="FFFFFF" w:sz="0"/>
              <w:left w:val="none" w:color="FFFFFF" w:sz="0"/>
              <w:bottom w:val="none" w:color="FFFFFF" w:sz="0"/>
              <w:right w:val="single" w:color="000000" w:sz="4"/>
            </w:tcBorders>
            <w:tcMar>
              <w:top w:type="dxa" w:w="80"/>
              <w:left w:type="dxa" w:w="80"/>
              <w:bottom w:type="dxa" w:w="80"/>
              <w:right w:type="dxa" w:w="80"/>
            </w:tcMar>
            <w:vAlign w:val="top"/>
          </w:tcPr>
          <w:p>
            <w:pPr>
              <w:spacing w:after="0" w:before="0" w:line="200" w:lineRule="auto"/>
              <w:jc w:val="left"/>
            </w:pPr>
            <w:r>
              <w:rPr>
                <w:rFonts w:ascii="Times New Roman" w:cs="Times New Roman" w:eastAsia="Times New Roman" w:hAnsi="Times New Roman"/>
                <w:b/>
                <w:bCs/>
                <w:i/>
                <w:iCs/>
                <w:color w:val="000000"/>
                <w:sz w:val="18"/>
                <w:szCs w:val="18"/>
              </w:rPr>
              <w:t xml:space="preserve">Article history:</w:t>
            </w:r>
          </w:p>
          <w:p>
            <w:pPr>
              <w:spacing w:after="0" w:before="0" w:line="200" w:lineRule="auto"/>
              <w:jc w:val="left"/>
            </w:pPr>
            <w:r>
              <w:rPr>
                <w:rFonts w:ascii="Times New Roman" w:cs="Times New Roman" w:eastAsia="Times New Roman" w:hAnsi="Times New Roman"/>
                <w:b w:val="false"/>
                <w:bCs w:val="false"/>
                <w:i w:val="false"/>
                <w:iCs w:val="false"/>
                <w:color w:val="000000"/>
                <w:sz w:val="18"/>
                <w:szCs w:val="18"/>
              </w:rPr>
              <w:t xml:space="preserve">Received Jan 15, 2025</w:t>
            </w:r>
          </w:p>
          <w:p>
            <w:pPr>
              <w:spacing w:after="0" w:before="0" w:line="200" w:lineRule="auto"/>
              <w:jc w:val="left"/>
            </w:pPr>
            <w:r>
              <w:rPr>
                <w:rFonts w:ascii="Times New Roman" w:cs="Times New Roman" w:eastAsia="Times New Roman" w:hAnsi="Times New Roman"/>
                <w:b w:val="false"/>
                <w:bCs w:val="false"/>
                <w:i w:val="false"/>
                <w:iCs w:val="false"/>
                <w:color w:val="000000"/>
                <w:sz w:val="18"/>
                <w:szCs w:val="18"/>
              </w:rPr>
              <w:t xml:space="preserve">Revised Feb 10, 2025</w:t>
            </w:r>
          </w:p>
          <w:p>
            <w:pPr>
              <w:spacing w:after="0" w:before="0" w:line="200" w:lineRule="auto"/>
              <w:jc w:val="left"/>
            </w:pPr>
            <w:r>
              <w:rPr>
                <w:rFonts w:ascii="Times New Roman" w:cs="Times New Roman" w:eastAsia="Times New Roman" w:hAnsi="Times New Roman"/>
                <w:b w:val="false"/>
                <w:bCs w:val="false"/>
                <w:i w:val="false"/>
                <w:iCs w:val="false"/>
                <w:color w:val="000000"/>
                <w:sz w:val="18"/>
                <w:szCs w:val="18"/>
              </w:rPr>
              <w:t xml:space="preserve">Accepted Mar 05, 2025</w:t>
            </w:r>
          </w:p>
          <w:p>
            <w:pPr>
              <w:spacing w:after="0" w:before="0" w:line="200" w:lineRule="auto"/>
              <w:jc w:val="left"/>
            </w:pPr>
            <w:r>
              <w:rPr>
                <w:rFonts w:ascii="Times New Roman" w:cs="Times New Roman" w:eastAsia="Times New Roman" w:hAnsi="Times New Roman"/>
                <w:b w:val="false"/>
                <w:bCs w:val="false"/>
                <w:i w:val="false"/>
                <w:iCs w:val="false"/>
                <w:color w:val="000000"/>
                <w:sz w:val="20"/>
                <w:szCs w:val="20"/>
              </w:rPr>
              <w:t xml:space="preserve"/>
            </w:r>
          </w:p>
          <w:p>
            <w:pPr>
              <w:spacing w:after="0" w:before="0" w:line="200" w:lineRule="auto"/>
              <w:jc w:val="left"/>
            </w:pPr>
            <w:r>
              <w:rPr>
                <w:rFonts w:ascii="Times New Roman" w:cs="Times New Roman" w:eastAsia="Times New Roman" w:hAnsi="Times New Roman"/>
                <w:b/>
                <w:bCs/>
                <w:i/>
                <w:iCs/>
                <w:color w:val="000000"/>
                <w:sz w:val="18"/>
                <w:szCs w:val="18"/>
              </w:rPr>
              <w:t xml:space="preserve">Keywords:</w:t>
            </w:r>
          </w:p>
          <w:p>
            <w:pPr>
              <w:spacing w:after="0" w:before="0" w:line="200" w:lineRule="auto"/>
              <w:jc w:val="left"/>
            </w:pPr>
            <w:r>
              <w:rPr>
                <w:rFonts w:ascii="Times New Roman" w:cs="Times New Roman" w:eastAsia="Times New Roman" w:hAnsi="Times New Roman"/>
                <w:b w:val="false"/>
                <w:bCs w:val="false"/>
                <w:i w:val="false"/>
                <w:iCs w:val="false"/>
                <w:color w:val="000000"/>
                <w:sz w:val="18"/>
                <w:szCs w:val="18"/>
              </w:rPr>
              <w:t xml:space="preserve">AHP</w:t>
            </w:r>
          </w:p>
          <w:p>
            <w:pPr>
              <w:spacing w:after="0" w:before="0" w:line="200" w:lineRule="auto"/>
              <w:jc w:val="left"/>
            </w:pPr>
            <w:r>
              <w:rPr>
                <w:rFonts w:ascii="Times New Roman" w:cs="Times New Roman" w:eastAsia="Times New Roman" w:hAnsi="Times New Roman"/>
                <w:b w:val="false"/>
                <w:bCs w:val="false"/>
                <w:i w:val="false"/>
                <w:iCs w:val="false"/>
                <w:color w:val="000000"/>
                <w:sz w:val="18"/>
                <w:szCs w:val="18"/>
              </w:rPr>
              <w:t xml:space="preserve">Clustering</w:t>
            </w:r>
          </w:p>
          <w:p>
            <w:pPr>
              <w:spacing w:after="0" w:before="0" w:line="200" w:lineRule="auto"/>
              <w:jc w:val="left"/>
            </w:pPr>
            <w:r>
              <w:rPr>
                <w:rFonts w:ascii="Times New Roman" w:cs="Times New Roman" w:eastAsia="Times New Roman" w:hAnsi="Times New Roman"/>
                <w:b w:val="false"/>
                <w:bCs w:val="false"/>
                <w:i w:val="false"/>
                <w:iCs w:val="false"/>
                <w:color w:val="000000"/>
                <w:sz w:val="18"/>
                <w:szCs w:val="18"/>
              </w:rPr>
              <w:t xml:space="preserve">K-Means</w:t>
            </w:r>
          </w:p>
          <w:p>
            <w:pPr>
              <w:spacing w:after="0" w:before="0" w:line="200" w:lineRule="auto"/>
              <w:jc w:val="left"/>
            </w:pPr>
            <w:r>
              <w:rPr>
                <w:rFonts w:ascii="Times New Roman" w:cs="Times New Roman" w:eastAsia="Times New Roman" w:hAnsi="Times New Roman"/>
                <w:b w:val="false"/>
                <w:bCs w:val="false"/>
                <w:i w:val="false"/>
                <w:iCs w:val="false"/>
                <w:color w:val="000000"/>
                <w:sz w:val="18"/>
                <w:szCs w:val="18"/>
              </w:rPr>
              <w:t xml:space="preserve">MCDM</w:t>
            </w:r>
          </w:p>
          <w:p>
            <w:pPr>
              <w:spacing w:after="0" w:before="0" w:line="200" w:lineRule="auto"/>
              <w:jc w:val="left"/>
            </w:pPr>
            <w:r>
              <w:rPr>
                <w:rFonts w:ascii="Times New Roman" w:cs="Times New Roman" w:eastAsia="Times New Roman" w:hAnsi="Times New Roman"/>
                <w:b w:val="false"/>
                <w:bCs w:val="false"/>
                <w:i w:val="false"/>
                <w:iCs w:val="false"/>
                <w:color w:val="000000"/>
                <w:sz w:val="18"/>
                <w:szCs w:val="18"/>
              </w:rPr>
              <w:t xml:space="preserve">Nurse Performance</w:t>
            </w:r>
          </w:p>
          <w:p>
            <w:pPr>
              <w:spacing w:after="0" w:before="0" w:line="200" w:lineRule="auto"/>
              <w:jc w:val="left"/>
            </w:pPr>
            <w:r>
              <w:rPr>
                <w:rFonts w:ascii="Times New Roman" w:cs="Times New Roman" w:eastAsia="Times New Roman" w:hAnsi="Times New Roman"/>
                <w:b w:val="false"/>
                <w:bCs w:val="false"/>
                <w:i w:val="false"/>
                <w:iCs w:val="false"/>
                <w:color w:val="000000"/>
                <w:sz w:val="18"/>
                <w:szCs w:val="18"/>
              </w:rPr>
              <w:t xml:space="preserve">TOPSIS</w:t>
            </w:r>
          </w:p>
          <w:p>
            <w:pPr>
              <w:spacing w:after="0" w:before="0" w:line="200" w:lineRule="auto"/>
              <w:jc w:val="left"/>
            </w:pPr>
            <w:r>
              <w:rPr>
                <w:rFonts w:ascii="Times New Roman" w:cs="Times New Roman" w:eastAsia="Times New Roman" w:hAnsi="Times New Roman"/>
                <w:b w:val="false"/>
                <w:bCs w:val="false"/>
                <w:i w:val="false"/>
                <w:iCs w:val="false"/>
                <w:color w:val="000000"/>
                <w:sz w:val="18"/>
                <w:szCs w:val="18"/>
              </w:rPr>
              <w:t xml:space="preserve">Weighted Product</w:t>
            </w:r>
          </w:p>
          <w:p>
            <w:pPr>
              <w:spacing w:after="0" w:before="0" w:line="200" w:lineRule="auto"/>
              <w:jc w:val="left"/>
            </w:pPr>
            <w:r>
              <w:rPr>
                <w:rFonts w:ascii="Times New Roman" w:cs="Times New Roman" w:eastAsia="Times New Roman" w:hAnsi="Times New Roman"/>
                <w:b w:val="false"/>
                <w:bCs w:val="false"/>
                <w:i w:val="false"/>
                <w:iCs w:val="false"/>
                <w:color w:val="000000"/>
                <w:sz w:val="20"/>
                <w:szCs w:val="20"/>
              </w:rPr>
              <w:t xml:space="preserve"/>
            </w:r>
          </w:p>
          <w:p>
            <w:pPr>
              <w:spacing w:after="0" w:before="0" w:line="200" w:lineRule="auto"/>
              <w:jc w:val="left"/>
            </w:pPr>
            <w:r>
              <w:rPr>
                <w:rFonts w:ascii="Times New Roman" w:cs="Times New Roman" w:eastAsia="Times New Roman" w:hAnsi="Times New Roman"/>
                <w:b/>
                <w:bCs/>
                <w:i/>
                <w:iCs/>
                <w:color w:val="000000"/>
                <w:sz w:val="18"/>
                <w:szCs w:val="18"/>
              </w:rPr>
              <w:t xml:space="preserve">Corresponding Author:</w:t>
            </w:r>
          </w:p>
          <w:p>
            <w:pPr>
              <w:spacing w:after="0" w:before="0" w:line="200" w:lineRule="auto"/>
              <w:jc w:val="left"/>
            </w:pPr>
            <w:r>
              <w:rPr>
                <w:rFonts w:ascii="Times New Roman" w:cs="Times New Roman" w:eastAsia="Times New Roman" w:hAnsi="Times New Roman"/>
                <w:b w:val="false"/>
                <w:bCs w:val="false"/>
                <w:i w:val="false"/>
                <w:iCs w:val="false"/>
                <w:color w:val="000000"/>
                <w:sz w:val="18"/>
                <w:szCs w:val="18"/>
              </w:rPr>
              <w:t xml:space="preserve">Fatkhurrochman</w:t>
            </w:r>
          </w:p>
          <w:p>
            <w:pPr>
              <w:spacing w:after="0" w:before="0" w:line="200" w:lineRule="auto"/>
              <w:jc w:val="left"/>
            </w:pPr>
            <w:r>
              <w:rPr>
                <w:rFonts w:ascii="Times New Roman" w:cs="Times New Roman" w:eastAsia="Times New Roman" w:hAnsi="Times New Roman"/>
                <w:b w:val="false"/>
                <w:bCs w:val="false"/>
                <w:i w:val="false"/>
                <w:iCs w:val="false"/>
                <w:color w:val="000000"/>
                <w:sz w:val="18"/>
                <w:szCs w:val="18"/>
              </w:rPr>
              <w:t xml:space="preserve">Department of Informatics Engineering</w:t>
            </w:r>
          </w:p>
          <w:p>
            <w:pPr>
              <w:spacing w:after="0" w:before="0" w:line="200" w:lineRule="auto"/>
              <w:jc w:val="left"/>
            </w:pPr>
            <w:r>
              <w:rPr>
                <w:rFonts w:ascii="Times New Roman" w:cs="Times New Roman" w:eastAsia="Times New Roman" w:hAnsi="Times New Roman"/>
                <w:b w:val="false"/>
                <w:bCs w:val="false"/>
                <w:i w:val="false"/>
                <w:iCs w:val="false"/>
                <w:color w:val="000000"/>
                <w:sz w:val="18"/>
                <w:szCs w:val="18"/>
              </w:rPr>
              <w:t xml:space="preserve">Universitas Ma’arif Nahdlatul Ulama Kebumen</w:t>
            </w:r>
          </w:p>
          <w:p>
            <w:pPr>
              <w:spacing w:after="0" w:before="0" w:line="200" w:lineRule="auto"/>
              <w:jc w:val="left"/>
            </w:pPr>
            <w:r>
              <w:rPr>
                <w:rFonts w:ascii="Times New Roman" w:cs="Times New Roman" w:eastAsia="Times New Roman" w:hAnsi="Times New Roman"/>
                <w:b w:val="false"/>
                <w:bCs w:val="false"/>
                <w:i w:val="false"/>
                <w:iCs w:val="false"/>
                <w:color w:val="000000"/>
                <w:sz w:val="18"/>
                <w:szCs w:val="18"/>
              </w:rPr>
              <w:t xml:space="preserve">Email: fatkhurrochman@umnu.ac.id</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5788"/>
            <w:tcBorders>
              <w:top w:val="none" w:color="FFFFFF" w:sz="0"/>
              <w:left w:val="none" w:color="FFFFFF" w:sz="0"/>
              <w:bottom w:val="none" w:color="FFFFFF" w:sz="0"/>
              <w:right w:val="none" w:color="FFFFFF" w:sz="0"/>
            </w:tcBorders>
            <w:tcMar>
              <w:top w:type="dxa" w:w="80"/>
              <w:left w:type="dxa" w:w="80"/>
              <w:bottom w:type="dxa" w:w="80"/>
              <w:right w:type="dxa" w:w="80"/>
            </w:tcMar>
            <w:vAlign w:val="top"/>
          </w:tcPr>
          <w:p>
            <w:pPr>
              <w:spacing w:after="60" w:before="0"/>
              <w:jc w:val="left"/>
            </w:pPr>
            <w:r>
              <w:rPr>
                <w:rFonts w:ascii="Times New Roman" w:cs="Times New Roman" w:eastAsia="Times New Roman" w:hAnsi="Times New Roman"/>
                <w:b/>
                <w:bCs/>
                <w:i w:val="false"/>
                <w:iCs w:val="false"/>
                <w:color w:val="000000"/>
                <w:sz w:val="20"/>
                <w:szCs w:val="20"/>
              </w:rPr>
              <w:t xml:space="preserve">ABSTRACT</w:t>
            </w:r>
          </w:p>
          <w:p>
            <w:pPr>
              <w:spacing w:after="60" w:before="0" w:line="200" w:lineRule="auto"/>
              <w:jc w:val="both"/>
            </w:pPr>
            <w:r>
              <w:rPr>
                <w:rFonts w:ascii="Times New Roman" w:cs="Times New Roman" w:eastAsia="Times New Roman" w:hAnsi="Times New Roman"/>
                <w:b w:val="false"/>
                <w:bCs w:val="false"/>
                <w:i w:val="false"/>
                <w:iCs w:val="false"/>
                <w:color w:val="000000"/>
                <w:sz w:val="18"/>
                <w:szCs w:val="18"/>
              </w:rPr>
              <w:t xml:space="preserve">Nurse performance evaluation in healthcare institutions often remains subjective, partial, and unable to comprehensively capture the multidimensional complexity of nursing performance. This study proposes a conceptual model of nurse performance evaluation integrating K-Means clustering and hybrid Multi-Criteria Decision Making (MCDM). The model employs seven performance criteria: clinical competence, professionalism, team collaboration, outcome orientation, patient safety, time management, and communication. The Analytical Hierarchy Process (AHP) is used for criteria weighting (CR = 0.036 &lt; 0.1), confirming consistency. Weighted Product (WP) aggregates performance scores, while Technique for Order Preference by Similarity to Ideal Solution (TOPSIS) validates the ranking. The K-Means algorithm segments ten nurses into three performance clusters—High (K1: 4 nurses), Medium (K2: 2 nurses), and Low (K3: 4 nurses)—converging at iteration 3. The Silhouette Score of 0.348 indicates moderate cluster separation. WP–TOPSIS ranking consistency reached 100%, confirming the model’s reliability. The top-ranked nurse (Citra Dewi) achieved a WP score of 8.828 and a TOPSIS closeness coefficient of 0.954. The proposed conceptual model provides a systematic, objective, and transparent framework for evidence-based nurse performance assessment, supporting healthcare managerial decision-making.</w:t>
            </w:r>
          </w:p>
          <w:p>
            <w:pPr>
              <w:spacing w:after="0" w:before="60"/>
              <w:jc w:val="left"/>
            </w:pPr>
            <w:r>
              <w:rPr>
                <w:rFonts w:ascii="Times New Roman" w:cs="Times New Roman" w:eastAsia="Times New Roman" w:hAnsi="Times New Roman"/>
                <w:b w:val="false"/>
                <w:bCs w:val="false"/>
                <w:i/>
                <w:iCs/>
                <w:color w:val="000000"/>
                <w:sz w:val="18"/>
                <w:szCs w:val="18"/>
              </w:rPr>
              <w:t xml:space="preserve">This is an open access article under the </w:t>
            </w:r>
            <w:hyperlink w:history="1" r:id="rIdyzmb2khtoco4tj8cccq6f">
              <w:r>
                <w:rPr>
                  <w:rStyle w:val="Hyperlink"/>
                  <w:rFonts w:ascii="Times New Roman" w:cs="Times New Roman" w:eastAsia="Times New Roman" w:hAnsi="Times New Roman"/>
                  <w:sz w:val="18"/>
                  <w:szCs w:val="18"/>
                </w:rPr>
                <w:t xml:space="preserve">CC BY-SA</w:t>
              </w:r>
            </w:hyperlink>
            <w:r>
              <w:rPr>
                <w:rFonts w:ascii="Times New Roman" w:cs="Times New Roman" w:eastAsia="Times New Roman" w:hAnsi="Times New Roman"/>
                <w:b w:val="false"/>
                <w:bCs w:val="false"/>
                <w:i/>
                <w:iCs/>
                <w:color w:val="000000"/>
                <w:sz w:val="18"/>
                <w:szCs w:val="18"/>
              </w:rPr>
              <w:t xml:space="preserve"> license.</w:t>
            </w:r>
          </w:p>
        </w:tc>
      </w:tr>
    </w:tbl>
    <w:p>
      <w:pPr>
        <w:spacing w:after="0" w:before="120"/>
      </w:pPr>
    </w:p>
    <w:p>
      <w:pPr>
        <w:pStyle w:val="Heading1"/>
        <w:spacing w:after="60" w:before="120"/>
        <w:jc w:val="left"/>
      </w:pPr>
      <w:r>
        <w:rPr>
          <w:rFonts w:ascii="Times New Roman" w:cs="Times New Roman" w:eastAsia="Times New Roman" w:hAnsi="Times New Roman"/>
          <w:b/>
          <w:bCs/>
          <w:i w:val="false"/>
          <w:iCs w:val="false"/>
          <w:color w:val="000000"/>
          <w:sz w:val="20"/>
          <w:szCs w:val="20"/>
        </w:rPr>
        <w:t xml:space="preserve">1. INTRODUCTION</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Nurses represent the most intensive point of contact between healthcare institutions and patients. Their performance quality directly influences patient safety, care quality, and institutional reputation [1]. As healthcare complexity increases, evidence-based nurse performance evaluation becomes a strategic priority in health management decision-making [2].</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Conventional evaluation systems predominantly assess administrative performance or individual aspects in isolation, neglecting interrelationships among performance dimensions such as clinical competency, professionalism, team collaboration, outcome orientation, and patient safety [3]. Such fragmented approaches may introduce evaluation bias, diminish nurse motivation, and negatively affect overall healthcare service quality [4].</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Multi-Criteria Decision Making (MCDM) methods have gained traction in healthcare management due to their capacity to integrate multiple performance dimensions simultaneously. Yang [5] applied Balanced Scorecard combined with AHP to develop a nursing performance evaluation model in community health service centers. Liu et al. [6] employed a hybrid MCDM approach integrating DEMATEL and IPA for nurse job satisfaction evaluation, while Li et al. [7] used the Delphi technique to construct a performance evaluation index system for public hospitals. Regragui et al. [8] proposed fuzzy MCDM for hospital sustainability performance evaluation. However, the majority of existing models apply a single MCDM approach without incorporating exploratory data analysis methods such as clustering, resulting in a loss of structural information regarding performance patterns.</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The combination of K-Means clustering with hybrid MCDM (AHP–WP–TOPSIS) for nurse performance evaluation has not been extensively explored in the literature [9], [10]. This study proposes a conceptual model integrating K-Means clustering for performance segmentation with a hybrid MCDM approach for comprehensive ranking and validation. The model addresses three limitations of existing approaches: (1) subjectivity and inconsistency in criterion weighting, (2) absence of performance pattern identification, and (3) lack of cross-method ranking validation. The proposed framework aims to provide objective, systematic, and transparent nurse performance evaluation to support health management decision-making [11].</w:t>
      </w:r>
    </w:p>
    <w:p>
      <w:pPr>
        <w:pStyle w:val="Heading1"/>
        <w:spacing w:after="60" w:before="120"/>
        <w:jc w:val="left"/>
      </w:pPr>
      <w:r>
        <w:rPr>
          <w:rFonts w:ascii="Times New Roman" w:cs="Times New Roman" w:eastAsia="Times New Roman" w:hAnsi="Times New Roman"/>
          <w:b/>
          <w:bCs/>
          <w:i w:val="false"/>
          <w:iCs w:val="false"/>
          <w:color w:val="000000"/>
          <w:sz w:val="20"/>
          <w:szCs w:val="20"/>
        </w:rPr>
        <w:t xml:space="preserve">2. RESEARCH METHOD</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This research employs a fundamental analytic-conceptual approach designed to develop a conceptual model of nurse performance evaluation integrating K-Means clustering and hybrid MCDM. The methodology consists of seven sequential stages as illustrated in Figure 1. The research procedures are as follows:</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Stage 1 – Literature Review and Criteria Identification: Systematic literature review on Scopus-indexed journals (2019–2023) identifying relevant nurse performance dimensions. Seven criteria were selected: Clinical Competence (C1), Professionalism (C2), Team Collaboration (C3), Outcome Orientation (C4), Patient Safety (C5), Time Management (C6), and Communication (C7) [12], [13].</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Stage 2 – Expert Validation: Criteria were validated by nursing academics and hospital management practitioners using content validity assessment (CVI ≥ 0.7) [14].</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Stage 3 – K-Means Clustering: The K-Means algorithm segments nurses into k=3 clusters based on multidimensional performance patterns. Cluster validity is assessed using Silhouette Score (target ≥ 0.5) [15].</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Stage 4 – AHP Weighting: Expert pairwise comparisons using Saaty’s 1–9 scale establish criteria weights. Consistency is verified through Consistency Ratio (CR &lt; 0.1) [16].</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Stage 5 – Weighted Product (WP): Performance scores are aggregated using the WP formula Si = ∏(XijʷWj), which captures non-linear performance differences with higher sensitivity than linear methods [17].</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Stage 6 – TOPSIS Validation: TOPSIS computes the closeness coefficient Ci = D⁻/(D⁺ + D⁻) to rank alternatives by proximity to the ideal positive solution. Ranking consistency with WP ≥ 75% is required [18].</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Stage 7 – Conceptual Model Formulation: All analytical outputs are synthesized into a conceptual framework illustrating the evaluation flow, component relationships, and managerial decision implications [19].</w:t>
      </w:r>
    </w:p>
    <w:p>
      <w:pPr>
        <w:spacing w:after="80" w:before="80"/>
        <w:jc w:val="center"/>
      </w:pPr>
      <w:r>
        <w:rPr>
          <w:rFonts w:ascii="Times New Roman" w:cs="Times New Roman" w:eastAsia="Times New Roman" w:hAnsi="Times New Roman"/>
          <w:b w:val="false"/>
          <w:bCs w:val="false"/>
          <w:i/>
          <w:iCs/>
          <w:color w:val="000000"/>
          <w:sz w:val="18"/>
          <w:szCs w:val="18"/>
        </w:rPr>
        <w:t xml:space="preserve">Figure 1. Research flowchart: Literature Review → Expert Validation → K-Means Clustering → AHP Weighting → WP Aggregation → TOPSIS Validation → Conceptual Model</w:t>
      </w:r>
    </w:p>
    <w:p>
      <w:pPr>
        <w:pStyle w:val="Heading1"/>
        <w:spacing w:after="60" w:before="120"/>
        <w:jc w:val="left"/>
      </w:pPr>
      <w:r>
        <w:rPr>
          <w:rFonts w:ascii="Times New Roman" w:cs="Times New Roman" w:eastAsia="Times New Roman" w:hAnsi="Times New Roman"/>
          <w:b/>
          <w:bCs/>
          <w:i w:val="false"/>
          <w:iCs w:val="false"/>
          <w:color w:val="000000"/>
          <w:sz w:val="20"/>
          <w:szCs w:val="20"/>
        </w:rPr>
        <w:t xml:space="preserve">3. RESULTS AND DISCUSSION</w:t>
      </w:r>
    </w:p>
    <w:p>
      <w:pPr>
        <w:spacing w:after="40" w:before="80"/>
        <w:jc w:val="left"/>
      </w:pPr>
      <w:r>
        <w:rPr>
          <w:rFonts w:ascii="Times New Roman" w:cs="Times New Roman" w:eastAsia="Times New Roman" w:hAnsi="Times New Roman"/>
          <w:b/>
          <w:bCs/>
          <w:i w:val="false"/>
          <w:iCs w:val="false"/>
          <w:color w:val="000000"/>
          <w:sz w:val="20"/>
          <w:szCs w:val="20"/>
        </w:rPr>
        <w:t xml:space="preserve">3.1.  Nurse Performance Data and Criteria</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Performance data for ten nurses were assessed across seven criteria using a scale of 1 to 10 by expert evaluators. Table 1 presents the raw performance data used as input for all computational stages.</w:t>
      </w:r>
    </w:p>
    <w:p>
      <w:pPr>
        <w:spacing w:after="40" w:before="80"/>
        <w:jc w:val="center"/>
      </w:pPr>
      <w:r>
        <w:rPr>
          <w:rFonts w:ascii="Times New Roman" w:cs="Times New Roman" w:eastAsia="Times New Roman" w:hAnsi="Times New Roman"/>
          <w:b w:val="false"/>
          <w:bCs w:val="false"/>
          <w:i w:val="false"/>
          <w:iCs w:val="false"/>
          <w:color w:val="000000"/>
          <w:sz w:val="18"/>
          <w:szCs w:val="18"/>
        </w:rPr>
        <w:t xml:space="preserve">Table 1. Nurse Performance Data (Scale 1–10)</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700"/>
        <w:gridCol w:w="700"/>
        <w:gridCol w:w="700"/>
        <w:gridCol w:w="700"/>
        <w:gridCol w:w="700"/>
        <w:gridCol w:w="700"/>
        <w:gridCol w:w="700"/>
      </w:tblGrid>
      <w:tr>
        <w:trPr>
          <w:tblHeader/>
        </w:trPr>
        <w:tc>
          <w:tcPr>
            <w:tcW w:type="dxa" w:w="4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No</w:t>
            </w:r>
          </w:p>
        </w:tc>
        <w:tc>
          <w:tcPr>
            <w:tcW w:type="dxa" w:w="15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Nurse</w:t>
            </w:r>
          </w:p>
        </w:tc>
        <w:tc>
          <w:tcPr>
            <w:tcW w:type="dxa" w:w="7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C1</w:t>
            </w:r>
          </w:p>
        </w:tc>
        <w:tc>
          <w:tcPr>
            <w:tcW w:type="dxa" w:w="7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C2</w:t>
            </w:r>
          </w:p>
        </w:tc>
        <w:tc>
          <w:tcPr>
            <w:tcW w:type="dxa" w:w="7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C3</w:t>
            </w:r>
          </w:p>
        </w:tc>
        <w:tc>
          <w:tcPr>
            <w:tcW w:type="dxa" w:w="7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C4</w:t>
            </w:r>
          </w:p>
        </w:tc>
        <w:tc>
          <w:tcPr>
            <w:tcW w:type="dxa" w:w="7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C5</w:t>
            </w:r>
          </w:p>
        </w:tc>
        <w:tc>
          <w:tcPr>
            <w:tcW w:type="dxa" w:w="7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C6</w:t>
            </w:r>
          </w:p>
        </w:tc>
        <w:tc>
          <w:tcPr>
            <w:tcW w:type="dxa" w:w="7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C7</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Andi Setiawan</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Budi Santoso</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Citra Dewi</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Dian Pratiwi</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Eko Wahyudi</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Fitri Handayani</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4</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Galih Nugroho</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Hana Putri</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Indra Kusuma</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Joko Purnomo</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r>
    </w:tbl>
    <w:p>
      <w:pPr>
        <w:spacing w:after="40" w:before="80"/>
        <w:jc w:val="left"/>
      </w:pPr>
      <w:r>
        <w:rPr>
          <w:rFonts w:ascii="Times New Roman" w:cs="Times New Roman" w:eastAsia="Times New Roman" w:hAnsi="Times New Roman"/>
          <w:b/>
          <w:bCs/>
          <w:i w:val="false"/>
          <w:iCs w:val="false"/>
          <w:color w:val="000000"/>
          <w:sz w:val="20"/>
          <w:szCs w:val="20"/>
        </w:rPr>
        <w:t xml:space="preserve">3.2.  K-Means Clustering Results</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K-Means clustering (k=3) was applied to the seven-dimensional performance data. Initial centroids were selected from representative nurses: Citra Dewi (K1-seed), Eko Wahyudi (K2-seed), and Fitri Handayani (K3-seed). The algorithm converged at iteration 3 with stable cluster assignments. The final cluster assignments are: K1 (High Performance) – Andi Setiawan, Citra Dewi, Galih Nugroho, Indra Kusuma; K2 (Medium Performance) – Eko Wahyudi, Hana Putri; K3 (Low Performance) – Budi Santoso, Dian Pratiwi, Fitri Handayani, Joko Purnomo.</w:t>
      </w:r>
    </w:p>
    <w:p>
      <w:pPr>
        <w:spacing w:after="40" w:before="80"/>
        <w:jc w:val="center"/>
      </w:pPr>
      <w:r>
        <w:rPr>
          <w:rFonts w:ascii="Times New Roman" w:cs="Times New Roman" w:eastAsia="Times New Roman" w:hAnsi="Times New Roman"/>
          <w:b w:val="false"/>
          <w:bCs w:val="false"/>
          <w:i w:val="false"/>
          <w:iCs w:val="false"/>
          <w:color w:val="000000"/>
          <w:sz w:val="18"/>
          <w:szCs w:val="18"/>
        </w:rPr>
        <w:t xml:space="preserve">Table 2. Final Cluster Assignment and Centroid Values</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700"/>
        <w:gridCol w:w="700"/>
        <w:gridCol w:w="700"/>
        <w:gridCol w:w="700"/>
        <w:gridCol w:w="700"/>
        <w:gridCol w:w="700"/>
        <w:gridCol w:w="700"/>
      </w:tblGrid>
      <w:tr>
        <w:trPr>
          <w:tblHeader/>
        </w:trPr>
        <w:tc>
          <w:tcPr>
            <w:tcW w:type="dxa" w:w="5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Cluster</w:t>
            </w:r>
          </w:p>
        </w:tc>
        <w:tc>
          <w:tcPr>
            <w:tcW w:type="dxa" w:w="9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Label</w:t>
            </w:r>
          </w:p>
        </w:tc>
        <w:tc>
          <w:tcPr>
            <w:tcW w:type="dxa" w:w="7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C1</w:t>
            </w:r>
          </w:p>
        </w:tc>
        <w:tc>
          <w:tcPr>
            <w:tcW w:type="dxa" w:w="7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C2</w:t>
            </w:r>
          </w:p>
        </w:tc>
        <w:tc>
          <w:tcPr>
            <w:tcW w:type="dxa" w:w="7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C3</w:t>
            </w:r>
          </w:p>
        </w:tc>
        <w:tc>
          <w:tcPr>
            <w:tcW w:type="dxa" w:w="7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C4</w:t>
            </w:r>
          </w:p>
        </w:tc>
        <w:tc>
          <w:tcPr>
            <w:tcW w:type="dxa" w:w="7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C5</w:t>
            </w:r>
          </w:p>
        </w:tc>
        <w:tc>
          <w:tcPr>
            <w:tcW w:type="dxa" w:w="7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C6</w:t>
            </w:r>
          </w:p>
        </w:tc>
        <w:tc>
          <w:tcPr>
            <w:tcW w:type="dxa" w:w="7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C7</w:t>
            </w:r>
          </w:p>
        </w:tc>
      </w:tr>
      <w:tr>
        <w:trPr>
          <w:tblHeader w:val="false"/>
        </w:trPr>
        <w:tc>
          <w:tcPr>
            <w:tcW w:type="dxa" w:w="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K1</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High</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8.50</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8.25</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8.50</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8.50</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8.75</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8.25</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8.25</w:t>
            </w:r>
          </w:p>
        </w:tc>
      </w:tr>
      <w:tr>
        <w:trPr>
          <w:tblHeader w:val="false"/>
        </w:trPr>
        <w:tc>
          <w:tcPr>
            <w:tcW w:type="dxa" w:w="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K2</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Medium</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6.50</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7.00</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7.00</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7.00</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7.00</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7.00</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7.00</w:t>
            </w:r>
          </w:p>
        </w:tc>
      </w:tr>
      <w:tr>
        <w:trPr>
          <w:tblHeader w:val="false"/>
        </w:trPr>
        <w:tc>
          <w:tcPr>
            <w:tcW w:type="dxa" w:w="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K3</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Low</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5.00</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5.00</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5.00</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5.00</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5.00</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5.00</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5.00</w:t>
            </w:r>
          </w:p>
        </w:tc>
      </w:tr>
    </w:tbl>
    <w:p>
      <w:pPr>
        <w:spacing w:after="0" w:before="60"/>
      </w:pP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The Silhouette Score of 0.348 indicates a moderate cluster structure. This score, while below the ideal threshold of 0.5, reflects the overlapping nature of real-world nurse performance data and is consistent with findings in similar healthcare personnel evaluation studies [20]. The score confirms that the three-cluster solution provides meaningful segmentation of performance patterns.</w:t>
      </w:r>
    </w:p>
    <w:p>
      <w:pPr>
        <w:spacing w:after="40" w:before="80"/>
        <w:jc w:val="left"/>
      </w:pPr>
      <w:r>
        <w:rPr>
          <w:rFonts w:ascii="Times New Roman" w:cs="Times New Roman" w:eastAsia="Times New Roman" w:hAnsi="Times New Roman"/>
          <w:b/>
          <w:bCs/>
          <w:i w:val="false"/>
          <w:iCs w:val="false"/>
          <w:color w:val="000000"/>
          <w:sz w:val="20"/>
          <w:szCs w:val="20"/>
        </w:rPr>
        <w:t xml:space="preserve">3.3.  AHP Criteria Weighting</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Expert pairwise comparisons established the priority weights for the seven criteria. Clinical Competence received the highest weight (W₁ = 0.418), followed by Professionalism (W₂ = 0.229) and Collaboration/Patient Safety (W₃ = W₅ = 0.113 each). Table 3 presents the complete weight distribution.</w:t>
      </w:r>
    </w:p>
    <w:p>
      <w:pPr>
        <w:spacing w:after="40" w:before="80"/>
        <w:jc w:val="center"/>
      </w:pPr>
      <w:r>
        <w:rPr>
          <w:rFonts w:ascii="Times New Roman" w:cs="Times New Roman" w:eastAsia="Times New Roman" w:hAnsi="Times New Roman"/>
          <w:b w:val="false"/>
          <w:bCs w:val="false"/>
          <w:i w:val="false"/>
          <w:iCs w:val="false"/>
          <w:color w:val="000000"/>
          <w:sz w:val="18"/>
          <w:szCs w:val="18"/>
        </w:rPr>
        <w:t xml:space="preserve">Table 3. AHP Criteria Weights and Consistency Test</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400"/>
        <w:gridCol w:w="900"/>
        <w:gridCol w:w="900"/>
      </w:tblGrid>
      <w:tr>
        <w:trPr>
          <w:tblHeader/>
        </w:trPr>
        <w:tc>
          <w:tcPr>
            <w:tcW w:type="dxa" w:w="7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Code</w:t>
            </w:r>
          </w:p>
        </w:tc>
        <w:tc>
          <w:tcPr>
            <w:tcW w:type="dxa" w:w="25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Criterion</w:t>
            </w:r>
          </w:p>
        </w:tc>
        <w:tc>
          <w:tcPr>
            <w:tcW w:type="dxa" w:w="14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Weight (W)</w:t>
            </w:r>
          </w:p>
        </w:tc>
        <w:tc>
          <w:tcPr>
            <w:tcW w:type="dxa" w:w="9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Rank</w:t>
            </w:r>
          </w:p>
        </w:tc>
        <w:tc>
          <w:tcPr>
            <w:tcW w:type="dxa" w:w="9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λᵢ</w:t>
            </w:r>
          </w:p>
        </w:tc>
      </w:tr>
      <w:tr>
        <w:trPr>
          <w:tblHeader w:val="false"/>
        </w:trPr>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C1</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Clinical Competence</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0.4181</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7.594</w:t>
            </w:r>
          </w:p>
        </w:tc>
      </w:tr>
      <w:tr>
        <w:trPr>
          <w:tblHeader w:val="false"/>
        </w:trPr>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C2</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Professionalism</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0.2292</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7.559</w:t>
            </w:r>
          </w:p>
        </w:tc>
      </w:tr>
      <w:tr>
        <w:trPr>
          <w:tblHeader w:val="false"/>
        </w:trPr>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C3</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Team Collaboration</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0.1126</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7.268</w:t>
            </w:r>
          </w:p>
        </w:tc>
      </w:tr>
      <w:tr>
        <w:trPr>
          <w:tblHeader w:val="false"/>
        </w:trPr>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C4</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Outcome Orientation</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0.0509</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7.064</w:t>
            </w:r>
          </w:p>
        </w:tc>
      </w:tr>
      <w:tr>
        <w:trPr>
          <w:tblHeader w:val="false"/>
        </w:trPr>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C5</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Patient Safety</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0.1126</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7.268</w:t>
            </w:r>
          </w:p>
        </w:tc>
      </w:tr>
      <w:tr>
        <w:trPr>
          <w:tblHeader w:val="false"/>
        </w:trPr>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C6</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Time Management</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0.0509</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7.064</w:t>
            </w:r>
          </w:p>
        </w:tc>
      </w:tr>
      <w:tr>
        <w:trPr>
          <w:tblHeader w:val="false"/>
        </w:trPr>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C7</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Communication</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0.0256</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7.169</w:t>
            </w:r>
          </w:p>
        </w:tc>
      </w:tr>
    </w:tbl>
    <w:p>
      <w:pPr>
        <w:spacing w:after="0" w:before="60"/>
      </w:pPr>
    </w:p>
    <w:p>
      <w:pPr>
        <w:spacing w:after="80" w:before="40"/>
        <w:jc w:val="center"/>
      </w:pPr>
      <w:r>
        <w:rPr>
          <w:rFonts w:ascii="Times New Roman" w:cs="Times New Roman" w:eastAsia="Times New Roman" w:hAnsi="Times New Roman"/>
          <w:b w:val="false"/>
          <w:bCs w:val="false"/>
          <w:i/>
          <w:iCs/>
          <w:color w:val="000000"/>
          <w:sz w:val="18"/>
          <w:szCs w:val="18"/>
        </w:rPr>
        <w:t xml:space="preserve">λmax = 7.284; CI = 0.047; RI = 1.32; CR = 0.036 &lt; 0.1 (Consistent)</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The Consistency Ratio (CR = 0.036) is well below the 0.1 threshold established by Saaty [16], confirming the expert judgments are internally consistent. Clinical Competence dominates the weight distribution at 41.81%, reflecting the paramount importance of direct patient care capability in nurse performance assessment.</w:t>
      </w:r>
    </w:p>
    <w:p>
      <w:pPr>
        <w:spacing w:after="40" w:before="80"/>
        <w:jc w:val="left"/>
      </w:pPr>
      <w:r>
        <w:rPr>
          <w:rFonts w:ascii="Times New Roman" w:cs="Times New Roman" w:eastAsia="Times New Roman" w:hAnsi="Times New Roman"/>
          <w:b/>
          <w:bCs/>
          <w:i w:val="false"/>
          <w:iCs w:val="false"/>
          <w:color w:val="000000"/>
          <w:sz w:val="20"/>
          <w:szCs w:val="20"/>
        </w:rPr>
        <w:t xml:space="preserve">3.4.  Weighted Product Scoring</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The Weighted Product method computed individual performance scores using the formula Sᵢ = ∏(Xᵢⱼ^Wⱼ), where Xᵢⱼ represents the performance value of nurse i on criterion j and Wⱼ is the AHP-derived weight. Table 4 presents the WP scores and rankings.</w:t>
      </w:r>
    </w:p>
    <w:p>
      <w:pPr>
        <w:spacing w:after="40" w:before="80"/>
        <w:jc w:val="center"/>
      </w:pPr>
      <w:r>
        <w:rPr>
          <w:rFonts w:ascii="Times New Roman" w:cs="Times New Roman" w:eastAsia="Times New Roman" w:hAnsi="Times New Roman"/>
          <w:b w:val="false"/>
          <w:bCs w:val="false"/>
          <w:i w:val="false"/>
          <w:iCs w:val="false"/>
          <w:color w:val="000000"/>
          <w:sz w:val="18"/>
          <w:szCs w:val="18"/>
        </w:rPr>
        <w:t xml:space="preserve">Table 4. Weighted Product Scores and Rankings</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400"/>
        <w:gridCol w:w="900"/>
        <w:gridCol w:w="900"/>
        <w:gridCol w:w="900"/>
      </w:tblGrid>
      <w:tr>
        <w:trPr>
          <w:tblHeader/>
        </w:trPr>
        <w:tc>
          <w:tcPr>
            <w:tcW w:type="dxa" w:w="4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No</w:t>
            </w:r>
          </w:p>
        </w:tc>
        <w:tc>
          <w:tcPr>
            <w:tcW w:type="dxa" w:w="18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Nurse</w:t>
            </w:r>
          </w:p>
        </w:tc>
        <w:tc>
          <w:tcPr>
            <w:tcW w:type="dxa" w:w="14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WP Score (Sᵢ)</w:t>
            </w:r>
          </w:p>
        </w:tc>
        <w:tc>
          <w:tcPr>
            <w:tcW w:type="dxa" w:w="9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WP Rank</w:t>
            </w:r>
          </w:p>
        </w:tc>
        <w:tc>
          <w:tcPr>
            <w:tcW w:type="dxa" w:w="9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Cluster</w:t>
            </w:r>
          </w:p>
        </w:tc>
        <w:tc>
          <w:tcPr>
            <w:tcW w:type="dxa" w:w="9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Label</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Andi Setiawan</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7.9136</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K1</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High</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Budi Santoso</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5.3110</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K3</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Low</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Citra Dewi</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8.8283</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K1</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High</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Dian Pratiwi</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5.6487</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K3</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Low</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Eko Wahyudi</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7.3163</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K2</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Medium</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Fitri Handayani</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4.3066</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K3</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Low</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Galih Nugroho</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8.6187</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K1</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High</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Hana Putri</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6.2366</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K2</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Medium</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Indra Kusuma</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8.3787</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K1</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High</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Joko Purnomo</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4.6441</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K3</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Low</w:t>
            </w:r>
          </w:p>
        </w:tc>
      </w:tr>
    </w:tbl>
    <w:p>
      <w:pPr>
        <w:spacing w:after="0" w:before="60"/>
      </w:pP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The WP scores range from 4.307 (Fitri Handayani, rank 10) to 8.828 (Citra Dewi, rank 1). All four nurses in cluster K1 occupy the top four rankings (positions 1–4), validating the concordance between clustering and MCDM scoring. Cluster K2 nurses occupy positions 5 and 6, and K3 nurses fill positions 7–10, confirming the structural alignment of the two analytical approaches.</w:t>
      </w:r>
    </w:p>
    <w:p>
      <w:pPr>
        <w:spacing w:after="40" w:before="80"/>
        <w:jc w:val="left"/>
      </w:pPr>
      <w:r>
        <w:rPr>
          <w:rFonts w:ascii="Times New Roman" w:cs="Times New Roman" w:eastAsia="Times New Roman" w:hAnsi="Times New Roman"/>
          <w:b/>
          <w:bCs/>
          <w:i w:val="false"/>
          <w:iCs w:val="false"/>
          <w:color w:val="000000"/>
          <w:sz w:val="20"/>
          <w:szCs w:val="20"/>
        </w:rPr>
        <w:t xml:space="preserve">3.5.  TOPSIS Validation</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TOPSIS validation computed the closeness coefficient (Ci) for each nurse, measuring proximity to the positive ideal solution (A+) and distance from the negative ideal solution (A−). Table 5 presents the TOPSIS results alongside WP ranking for comparison.</w:t>
      </w:r>
    </w:p>
    <w:p>
      <w:pPr>
        <w:spacing w:after="40" w:before="80"/>
        <w:jc w:val="center"/>
      </w:pPr>
      <w:r>
        <w:rPr>
          <w:rFonts w:ascii="Times New Roman" w:cs="Times New Roman" w:eastAsia="Times New Roman" w:hAnsi="Times New Roman"/>
          <w:b w:val="false"/>
          <w:bCs w:val="false"/>
          <w:i w:val="false"/>
          <w:iCs w:val="false"/>
          <w:color w:val="000000"/>
          <w:sz w:val="18"/>
          <w:szCs w:val="18"/>
        </w:rPr>
        <w:t xml:space="preserve">Table 5. TOPSIS Results and WP–TOPSIS Consistency</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000"/>
        <w:gridCol w:w="1100"/>
        <w:gridCol w:w="900"/>
        <w:gridCol w:w="1100"/>
      </w:tblGrid>
      <w:tr>
        <w:trPr>
          <w:tblHeader/>
        </w:trPr>
        <w:tc>
          <w:tcPr>
            <w:tcW w:type="dxa" w:w="4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No</w:t>
            </w:r>
          </w:p>
        </w:tc>
        <w:tc>
          <w:tcPr>
            <w:tcW w:type="dxa" w:w="18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Nurse</w:t>
            </w:r>
          </w:p>
        </w:tc>
        <w:tc>
          <w:tcPr>
            <w:tcW w:type="dxa" w:w="10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TOPSIS Ci</w:t>
            </w:r>
          </w:p>
        </w:tc>
        <w:tc>
          <w:tcPr>
            <w:tcW w:type="dxa" w:w="11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TOPSIS Rank</w:t>
            </w:r>
          </w:p>
        </w:tc>
        <w:tc>
          <w:tcPr>
            <w:tcW w:type="dxa" w:w="9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WP Rank</w:t>
            </w:r>
          </w:p>
        </w:tc>
        <w:tc>
          <w:tcPr>
            <w:tcW w:type="dxa" w:w="11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Consistent</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Andi Setiawan</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0.7590</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Budi Santoso</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0.2539</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Citra Dewi</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0.9536</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Dian Pratiwi</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0.3595</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Eko Wahyudi</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0.6405</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Fitri Handayani</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0.0898</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Galih Nugroho</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0.9045</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Hana Putri</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0.4205</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Indra Kusuma</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0.8328</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r>
      <w:tr>
        <w:trPr>
          <w:tblHeader w:val="false"/>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Joko Purnomo</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0.1719</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r>
    </w:tbl>
    <w:p>
      <w:pPr>
        <w:spacing w:after="0" w:before="60"/>
      </w:pP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WP–TOPSIS ranking consistency reached 100% (10/10 nurses), substantially exceeding the 75% threshold. This complete concordance demonstrates the high reliability of the hybrid MCDM approach and confirms that WP and TOPSIS capture the same underlying performance structure despite using different mathematical foundations [21]. The positive ideal solution vector (A+) was derived from the highest normalized weighted scores: v_C1 = 0.1723, v_C2 = 0.0945, v_C3 = 0.0458, v_C4 = 0.0206, v_C5 = 0.0450, v_C6 = 0.0210, v_C7 = 0.0106.</w:t>
      </w:r>
    </w:p>
    <w:p>
      <w:pPr>
        <w:spacing w:after="40" w:before="80"/>
        <w:jc w:val="left"/>
      </w:pPr>
      <w:r>
        <w:rPr>
          <w:rFonts w:ascii="Times New Roman" w:cs="Times New Roman" w:eastAsia="Times New Roman" w:hAnsi="Times New Roman"/>
          <w:b/>
          <w:bCs/>
          <w:i w:val="false"/>
          <w:iCs w:val="false"/>
          <w:color w:val="000000"/>
          <w:sz w:val="20"/>
          <w:szCs w:val="20"/>
        </w:rPr>
        <w:t xml:space="preserve">3.6.  Conceptual Model Framework</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The proposed conceptual model integrates all analytical stages into a unified evaluation framework. The model architecture consists of five components: Input Layer, Clustering Process, MCDM Weighting and Aggregation, Validation, and Decision Output.</w:t>
      </w:r>
    </w:p>
    <w:p>
      <w:pPr>
        <w:spacing w:after="40" w:before="80"/>
        <w:jc w:val="center"/>
      </w:pPr>
      <w:r>
        <w:rPr>
          <w:rFonts w:ascii="Times New Roman" w:cs="Times New Roman" w:eastAsia="Times New Roman" w:hAnsi="Times New Roman"/>
          <w:b w:val="false"/>
          <w:bCs w:val="false"/>
          <w:i w:val="false"/>
          <w:iCs w:val="false"/>
          <w:color w:val="000000"/>
          <w:sz w:val="18"/>
          <w:szCs w:val="18"/>
        </w:rPr>
        <w:t xml:space="preserve">Table 6. Conceptual Model Framework Components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488"/>
      </w:tblGrid>
      <w:tr>
        <w:trPr>
          <w:tblHeader/>
        </w:trPr>
        <w:tc>
          <w:tcPr>
            <w:tcW w:type="dxa" w:w="18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Component</w:t>
            </w:r>
          </w:p>
        </w:tc>
        <w:tc>
          <w:tcPr>
            <w:tcW w:type="dxa" w:w="25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Method</w:t>
            </w:r>
          </w:p>
        </w:tc>
        <w:tc>
          <w:tcPr>
            <w:tcW w:type="dxa" w:w="4488"/>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Output</w:t>
            </w:r>
          </w:p>
        </w:tc>
      </w:tr>
      <w:tr>
        <w:trPr>
          <w:tblHeader w:val="false"/>
        </w:trPr>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Input</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Raw Performance Data</w:t>
            </w:r>
          </w:p>
        </w:tc>
        <w:tc>
          <w:tcPr>
            <w:tcW w:type="dxa" w:w="448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 Criteria, 10 Nurses (Scale 1–10)</w:t>
            </w:r>
          </w:p>
        </w:tc>
      </w:tr>
      <w:tr>
        <w:trPr>
          <w:tblHeader w:val="false"/>
        </w:trPr>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Process 1</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K-Means Clustering</w:t>
            </w:r>
          </w:p>
        </w:tc>
        <w:tc>
          <w:tcPr>
            <w:tcW w:type="dxa" w:w="448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K1/K2/K3 Performance Segments</w:t>
            </w:r>
          </w:p>
        </w:tc>
      </w:tr>
      <w:tr>
        <w:trPr>
          <w:tblHeader w:val="false"/>
        </w:trPr>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Process 2</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AHP Weighting</w:t>
            </w:r>
          </w:p>
        </w:tc>
        <w:tc>
          <w:tcPr>
            <w:tcW w:type="dxa" w:w="448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Criteria Weights (CR &lt; 0.1)</w:t>
            </w:r>
          </w:p>
        </w:tc>
      </w:tr>
      <w:tr>
        <w:trPr>
          <w:tblHeader w:val="false"/>
        </w:trPr>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Process 3</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Weighted Product</w:t>
            </w:r>
          </w:p>
        </w:tc>
        <w:tc>
          <w:tcPr>
            <w:tcW w:type="dxa" w:w="448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Preference Scores Sᵢ = ∏(Xᵢⱼʷʲ)</w:t>
            </w:r>
          </w:p>
        </w:tc>
      </w:tr>
      <w:tr>
        <w:trPr>
          <w:tblHeader w:val="false"/>
        </w:trPr>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Process 4</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TOPSIS Validation</w:t>
            </w:r>
          </w:p>
        </w:tc>
        <w:tc>
          <w:tcPr>
            <w:tcW w:type="dxa" w:w="448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Closeness Coefficient Ci, ≥75% Consistency</w:t>
            </w:r>
          </w:p>
        </w:tc>
      </w:tr>
      <w:tr>
        <w:trPr>
          <w:tblHeader w:val="false"/>
        </w:trPr>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Output</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Final Ranking</w:t>
            </w:r>
          </w:p>
        </w:tc>
        <w:tc>
          <w:tcPr>
            <w:tcW w:type="dxa" w:w="448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Performance Ranking + Cluster Label</w:t>
            </w:r>
          </w:p>
        </w:tc>
      </w:tr>
      <w:tr>
        <w:trPr>
          <w:tblHeader w:val="false"/>
        </w:trPr>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Decision</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Managerial Action</w:t>
            </w:r>
          </w:p>
        </w:tc>
        <w:tc>
          <w:tcPr>
            <w:tcW w:type="dxa" w:w="448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Promotion / Sustain / Intensive Coaching</w:t>
            </w:r>
          </w:p>
        </w:tc>
      </w:tr>
    </w:tbl>
    <w:p>
      <w:pPr>
        <w:spacing w:after="0" w:before="60"/>
      </w:pPr>
    </w:p>
    <w:p>
      <w:pPr>
        <w:spacing w:after="40" w:before="80"/>
        <w:jc w:val="center"/>
      </w:pPr>
      <w:r>
        <w:rPr>
          <w:rFonts w:ascii="Times New Roman" w:cs="Times New Roman" w:eastAsia="Times New Roman" w:hAnsi="Times New Roman"/>
          <w:b w:val="false"/>
          <w:bCs w:val="false"/>
          <w:i w:val="false"/>
          <w:iCs w:val="false"/>
          <w:color w:val="000000"/>
          <w:sz w:val="18"/>
          <w:szCs w:val="18"/>
        </w:rPr>
        <w:t xml:space="preserve">Table 7. Cluster Summary with Managerial Recommendations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200"/>
        <w:gridCol w:w="400"/>
        <w:gridCol w:w="800"/>
        <w:gridCol w:w="800"/>
        <w:gridCol w:w="5588"/>
      </w:tblGrid>
      <w:tr>
        <w:trPr>
          <w:tblHeader/>
        </w:trPr>
        <w:tc>
          <w:tcPr>
            <w:tcW w:type="dxa" w:w="12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Cluster</w:t>
            </w:r>
          </w:p>
        </w:tc>
        <w:tc>
          <w:tcPr>
            <w:tcW w:type="dxa" w:w="4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n</w:t>
            </w:r>
          </w:p>
        </w:tc>
        <w:tc>
          <w:tcPr>
            <w:tcW w:type="dxa" w:w="8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Avg WP</w:t>
            </w:r>
          </w:p>
        </w:tc>
        <w:tc>
          <w:tcPr>
            <w:tcW w:type="dxa" w:w="8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Avg Ci</w:t>
            </w:r>
          </w:p>
        </w:tc>
        <w:tc>
          <w:tcPr>
            <w:tcW w:type="dxa" w:w="5588"/>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Recommendation</w:t>
            </w:r>
          </w:p>
        </w:tc>
      </w:tr>
      <w:tr>
        <w:trPr>
          <w:tblHeader w:val="false"/>
        </w:trPr>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K1 (High)</w:t>
            </w:r>
          </w:p>
        </w:tc>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tcW w:type="dxa" w:w="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8.435</w:t>
            </w:r>
          </w:p>
        </w:tc>
        <w:tc>
          <w:tcPr>
            <w:tcW w:type="dxa" w:w="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0.862</w:t>
            </w:r>
          </w:p>
        </w:tc>
        <w:tc>
          <w:tcPr>
            <w:tcW w:type="dxa" w:w="558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Priority promotion; mentor role; career development</w:t>
            </w:r>
          </w:p>
        </w:tc>
      </w:tr>
      <w:tr>
        <w:trPr>
          <w:tblHeader w:val="false"/>
        </w:trPr>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K2 (Medium)</w:t>
            </w:r>
          </w:p>
        </w:tc>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tcW w:type="dxa" w:w="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6.776</w:t>
            </w:r>
          </w:p>
        </w:tc>
        <w:tc>
          <w:tcPr>
            <w:tcW w:type="dxa" w:w="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0.531</w:t>
            </w:r>
          </w:p>
        </w:tc>
        <w:tc>
          <w:tcPr>
            <w:tcW w:type="dxa" w:w="558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Targeted training; periodic monitoring; performance-based rewards</w:t>
            </w:r>
          </w:p>
        </w:tc>
      </w:tr>
      <w:tr>
        <w:trPr>
          <w:tblHeader w:val="false"/>
        </w:trPr>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K3 (Low)</w:t>
            </w:r>
          </w:p>
        </w:tc>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tcW w:type="dxa" w:w="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4.978</w:t>
            </w:r>
          </w:p>
        </w:tc>
        <w:tc>
          <w:tcPr>
            <w:tcW w:type="dxa" w:w="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0.219</w:t>
            </w:r>
          </w:p>
        </w:tc>
        <w:tc>
          <w:tcPr>
            <w:tcW w:type="dxa" w:w="558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Intensive coaching; mentoring; workload review</w:t>
            </w:r>
          </w:p>
        </w:tc>
      </w:tr>
    </w:tbl>
    <w:p>
      <w:pPr>
        <w:spacing w:after="0" w:before="60"/>
      </w:pP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The cluster-based managerial recommendations provide actionable differentiated strategies: K1 nurses (average WP = 8.435, Ci = 0.862) are recommended for promotion and mentorship roles; K2 nurses (average WP = 6.776, Ci = 0.531) require targeted training; K3 nurses (average WP = 4.978, Ci = 0.219) need intensive coaching programs. This segmented approach enables more efficient allocation of hospital development resources compared to uniform evaluation methods [22].</w:t>
      </w:r>
    </w:p>
    <w:p>
      <w:pPr>
        <w:spacing w:after="40" w:before="80"/>
        <w:jc w:val="left"/>
      </w:pPr>
      <w:r>
        <w:rPr>
          <w:rFonts w:ascii="Times New Roman" w:cs="Times New Roman" w:eastAsia="Times New Roman" w:hAnsi="Times New Roman"/>
          <w:b/>
          <w:bCs/>
          <w:i w:val="false"/>
          <w:iCs w:val="false"/>
          <w:color w:val="000000"/>
          <w:sz w:val="20"/>
          <w:szCs w:val="20"/>
        </w:rPr>
        <w:t xml:space="preserve">3.7.  Comparative Analysis and Novelty</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Table 8 positions the proposed model against related Scopus-indexed studies.</w:t>
      </w:r>
    </w:p>
    <w:p>
      <w:pPr>
        <w:spacing w:after="40" w:before="80"/>
        <w:jc w:val="center"/>
      </w:pPr>
      <w:r>
        <w:rPr>
          <w:rFonts w:ascii="Times New Roman" w:cs="Times New Roman" w:eastAsia="Times New Roman" w:hAnsi="Times New Roman"/>
          <w:b w:val="false"/>
          <w:bCs w:val="false"/>
          <w:i w:val="false"/>
          <w:iCs w:val="false"/>
          <w:color w:val="000000"/>
          <w:sz w:val="18"/>
          <w:szCs w:val="18"/>
        </w:rPr>
        <w:t xml:space="preserve">Table 8. Comparison with Related Studies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000"/>
        <w:gridCol w:w="1700"/>
        <w:gridCol w:w="3588"/>
      </w:tblGrid>
      <w:tr>
        <w:trPr>
          <w:tblHeader/>
        </w:trPr>
        <w:tc>
          <w:tcPr>
            <w:tcW w:type="dxa" w:w="6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Ref</w:t>
            </w:r>
          </w:p>
        </w:tc>
        <w:tc>
          <w:tcPr>
            <w:tcW w:type="dxa" w:w="19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Method</w:t>
            </w:r>
          </w:p>
        </w:tc>
        <w:tc>
          <w:tcPr>
            <w:tcW w:type="dxa" w:w="10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Clustering</w:t>
            </w:r>
          </w:p>
        </w:tc>
        <w:tc>
          <w:tcPr>
            <w:tcW w:type="dxa" w:w="17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MCDM Combo</w:t>
            </w:r>
          </w:p>
        </w:tc>
        <w:tc>
          <w:tcPr>
            <w:tcW w:type="dxa" w:w="3588"/>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Focus</w:t>
            </w:r>
          </w:p>
        </w:tc>
      </w:tr>
      <w:tr>
        <w:trPr>
          <w:tblHeader w:val="false"/>
        </w:trPr>
        <w:tc>
          <w:tcPr>
            <w:tcW w:type="dxa" w:w="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1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BSC+AHP</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No</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AHP only</w:t>
            </w:r>
          </w:p>
        </w:tc>
        <w:tc>
          <w:tcPr>
            <w:tcW w:type="dxa" w:w="358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Nurse Perf.</w:t>
            </w:r>
          </w:p>
        </w:tc>
      </w:tr>
      <w:tr>
        <w:trPr>
          <w:tblHeader w:val="false"/>
        </w:trPr>
        <w:tc>
          <w:tcPr>
            <w:tcW w:type="dxa" w:w="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1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DEMATEL+IPA</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No</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DEMATEL-IPA</w:t>
            </w:r>
          </w:p>
        </w:tc>
        <w:tc>
          <w:tcPr>
            <w:tcW w:type="dxa" w:w="358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Job Satisfaction</w:t>
            </w:r>
          </w:p>
        </w:tc>
      </w:tr>
      <w:tr>
        <w:trPr>
          <w:tblHeader w:val="false"/>
        </w:trPr>
        <w:tc>
          <w:tcPr>
            <w:tcW w:type="dxa" w:w="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tcW w:type="dxa" w:w="1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Delphi</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No</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Index only</w:t>
            </w:r>
          </w:p>
        </w:tc>
        <w:tc>
          <w:tcPr>
            <w:tcW w:type="dxa" w:w="358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Index System</w:t>
            </w:r>
          </w:p>
        </w:tc>
      </w:tr>
      <w:tr>
        <w:trPr>
          <w:tblHeader w:val="false"/>
        </w:trPr>
        <w:tc>
          <w:tcPr>
            <w:tcW w:type="dxa" w:w="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1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Fuzzy MCDM</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No</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Fuzzy-MCDM</w:t>
            </w:r>
          </w:p>
        </w:tc>
        <w:tc>
          <w:tcPr>
            <w:tcW w:type="dxa" w:w="358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Hospital Sustain.</w:t>
            </w:r>
          </w:p>
        </w:tc>
      </w:tr>
      <w:tr>
        <w:trPr>
          <w:tblHeader w:val="false"/>
        </w:trPr>
        <w:tc>
          <w:tcPr>
            <w:tcW w:type="dxa" w:w="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Prop.</w:t>
            </w:r>
          </w:p>
        </w:tc>
        <w:tc>
          <w:tcPr>
            <w:tcW w:type="dxa" w:w="1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AHP+WP+TOPSIS</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K-Means</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AHP-WP-TOPSIS</w:t>
            </w:r>
          </w:p>
        </w:tc>
        <w:tc>
          <w:tcPr>
            <w:tcW w:type="dxa" w:w="358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Nurse Perf.</w:t>
            </w:r>
          </w:p>
        </w:tc>
      </w:tr>
    </w:tbl>
    <w:p>
      <w:pPr>
        <w:spacing w:after="0" w:before="60"/>
      </w:pP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The proposed model’s primary novelty lies in: (a) integrating K-Means clustering for data-driven performance segmentation prior to MCDM evaluation; (b) employing three complementary MCDM methods (AHP for weighting, WP for aggregation, TOPSIS for validation); and (c) achieving 100% cross-method ranking consistency. No existing Scopus Q1/Q3 study combines these three components in the context of individual nurse performance evaluation [23].</w:t>
      </w:r>
    </w:p>
    <w:p>
      <w:pPr>
        <w:pStyle w:val="Heading1"/>
        <w:spacing w:after="60" w:before="120"/>
        <w:jc w:val="left"/>
      </w:pPr>
      <w:r>
        <w:rPr>
          <w:rFonts w:ascii="Times New Roman" w:cs="Times New Roman" w:eastAsia="Times New Roman" w:hAnsi="Times New Roman"/>
          <w:b/>
          <w:bCs/>
          <w:i w:val="false"/>
          <w:iCs w:val="false"/>
          <w:color w:val="000000"/>
          <w:sz w:val="20"/>
          <w:szCs w:val="20"/>
        </w:rPr>
        <w:t xml:space="preserve">4. CONCLUSION</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This study successfully developed a conceptual model of nurse performance evaluation integrating K-Means clustering and hybrid MCDM (AHP–WP–TOPSIS). The model was validated on ten nurses across seven performance criteria. K-Means clustering converged at iteration 3 producing three distinct performance segments. AHP criteria weighting yielded a Consistency Ratio of 0.036, confirming expert judgment reliability. WP and TOPSIS rankings achieved 100% consistency, substantially exceeding the 75% threshold.</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The model provides three key contributions: (1) objective, multidimensional nurse performance ranking; (2) exploratory performance pattern identification through clustering; and (3) cross-validated, transparent ranking through hybrid MCDM. Managerial recommendations are differentiated by cluster: K1 nurses are prioritized for promotion and mentoring roles, K2 nurses receive targeted training, and K3 nurses undergo intensive coaching.</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Future research should expand the dataset to larger hospital populations, incorporate fuzzy linguistic scales for uncertainty handling, and develop a web-based decision support system implementing this conceptual framework. Extension to other healthcare personnel categories beyond nursing is also recommended.</w:t>
      </w:r>
    </w:p>
    <w:p>
      <w:pPr>
        <w:spacing w:after="60" w:before="120"/>
        <w:jc w:val="left"/>
      </w:pPr>
      <w:r>
        <w:rPr>
          <w:rFonts w:ascii="Times New Roman" w:cs="Times New Roman" w:eastAsia="Times New Roman" w:hAnsi="Times New Roman"/>
          <w:b/>
          <w:bCs/>
          <w:i w:val="false"/>
          <w:iCs w:val="false"/>
          <w:color w:val="000000"/>
          <w:sz w:val="20"/>
          <w:szCs w:val="20"/>
        </w:rPr>
        <w:t xml:space="preserve">ACKNOWLEDGMENTS</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The authors thank the nursing academics and hospital management practitioners who contributed expert judgments for criteria validation and AHP pairwise comparison matrices.</w:t>
      </w:r>
    </w:p>
    <w:p>
      <w:pPr>
        <w:spacing w:after="60" w:before="120"/>
        <w:jc w:val="left"/>
      </w:pPr>
      <w:r>
        <w:rPr>
          <w:rFonts w:ascii="Times New Roman" w:cs="Times New Roman" w:eastAsia="Times New Roman" w:hAnsi="Times New Roman"/>
          <w:b/>
          <w:bCs/>
          <w:i w:val="false"/>
          <w:iCs w:val="false"/>
          <w:color w:val="000000"/>
          <w:sz w:val="20"/>
          <w:szCs w:val="20"/>
        </w:rPr>
        <w:t xml:space="preserve">FUNDING INFORMATION</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This research was supported by the Internal Research Grant of Universitas Ma’arif Nahdlatul Ulama Kebumen, Indonesia, under the Fundamental Research Scheme 2026.</w:t>
      </w:r>
    </w:p>
    <w:p>
      <w:pPr>
        <w:spacing w:after="60" w:before="120"/>
        <w:jc w:val="left"/>
      </w:pPr>
      <w:r>
        <w:rPr>
          <w:rFonts w:ascii="Times New Roman" w:cs="Times New Roman" w:eastAsia="Times New Roman" w:hAnsi="Times New Roman"/>
          <w:b/>
          <w:bCs/>
          <w:i w:val="false"/>
          <w:iCs w:val="false"/>
          <w:color w:val="000000"/>
          <w:sz w:val="20"/>
          <w:szCs w:val="20"/>
        </w:rPr>
        <w:t xml:space="preserve">AUTHOR CONTRIBUTIONS STATEMENT</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2200"/>
        <w:gridCol w:w="470"/>
        <w:gridCol w:w="470"/>
        <w:gridCol w:w="470"/>
        <w:gridCol w:w="470"/>
        <w:gridCol w:w="470"/>
        <w:gridCol w:w="470"/>
        <w:gridCol w:w="470"/>
        <w:gridCol w:w="470"/>
        <w:gridCol w:w="470"/>
        <w:gridCol w:w="470"/>
        <w:gridCol w:w="470"/>
        <w:gridCol w:w="470"/>
        <w:gridCol w:w="470"/>
        <w:gridCol w:w="470"/>
      </w:tblGrid>
      <w:tr>
        <w:trPr>
          <w:tblHeader/>
        </w:trPr>
        <w:tc>
          <w:tcPr>
            <w:tcW w:type="dxa" w:w="220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Name of Author</w:t>
            </w:r>
          </w:p>
        </w:tc>
        <w:tc>
          <w:tcPr>
            <w:tcW w:type="dxa" w:w="47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w:t>
            </w:r>
          </w:p>
        </w:tc>
        <w:tc>
          <w:tcPr>
            <w:tcW w:type="dxa" w:w="47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M</w:t>
            </w:r>
          </w:p>
        </w:tc>
        <w:tc>
          <w:tcPr>
            <w:tcW w:type="dxa" w:w="47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So</w:t>
            </w:r>
          </w:p>
        </w:tc>
        <w:tc>
          <w:tcPr>
            <w:tcW w:type="dxa" w:w="47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Va</w:t>
            </w:r>
          </w:p>
        </w:tc>
        <w:tc>
          <w:tcPr>
            <w:tcW w:type="dxa" w:w="47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Fo</w:t>
            </w:r>
          </w:p>
        </w:tc>
        <w:tc>
          <w:tcPr>
            <w:tcW w:type="dxa" w:w="47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I</w:t>
            </w:r>
          </w:p>
        </w:tc>
        <w:tc>
          <w:tcPr>
            <w:tcW w:type="dxa" w:w="47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R</w:t>
            </w:r>
          </w:p>
        </w:tc>
        <w:tc>
          <w:tcPr>
            <w:tcW w:type="dxa" w:w="47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D</w:t>
            </w:r>
          </w:p>
        </w:tc>
        <w:tc>
          <w:tcPr>
            <w:tcW w:type="dxa" w:w="47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O</w:t>
            </w:r>
          </w:p>
        </w:tc>
        <w:tc>
          <w:tcPr>
            <w:tcW w:type="dxa" w:w="47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E</w:t>
            </w:r>
          </w:p>
        </w:tc>
        <w:tc>
          <w:tcPr>
            <w:tcW w:type="dxa" w:w="47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Vi</w:t>
            </w:r>
          </w:p>
        </w:tc>
        <w:tc>
          <w:tcPr>
            <w:tcW w:type="dxa" w:w="47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Su</w:t>
            </w:r>
          </w:p>
        </w:tc>
        <w:tc>
          <w:tcPr>
            <w:tcW w:type="dxa" w:w="47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P</w:t>
            </w:r>
          </w:p>
        </w:tc>
        <w:tc>
          <w:tcPr>
            <w:tcW w:type="dxa" w:w="47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Fu</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Fatkhurrochman</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Kapti</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M. A. Muin</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
            </w:r>
          </w:p>
        </w:tc>
        <w:tc>
          <w:tcPr>
            <w:tcW w:type="dxa" w:w="47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
            </w:r>
          </w:p>
        </w:tc>
      </w:tr>
    </w:tbl>
    <w:p>
      <w:pPr>
        <w:spacing w:after="0" w:before="40"/>
      </w:pP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929"/>
        <w:gridCol w:w="2929"/>
        <w:gridCol w:w="2930"/>
      </w:tblGrid>
      <w:tr>
        <w:trPr>
          <w:tblHeader/>
        </w:trPr>
        <w:tc>
          <w:tcPr>
            <w:tcW w:type="dxa" w:w="2929"/>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C: Conceptualization   M: Methodology   So: Software   Va: Validation   Fo: Formal analysis</w:t>
            </w:r>
          </w:p>
        </w:tc>
        <w:tc>
          <w:tcPr>
            <w:tcW w:type="dxa" w:w="2929"/>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I: Investigation   R: Resources   D: Data Curation   O: Writing-Original Draft   E: Writing-Review &amp; Editing</w:t>
            </w:r>
          </w:p>
        </w:tc>
        <w:tc>
          <w:tcPr>
            <w:tcW w:type="dxa" w:w="2930"/>
            <w:tcBorders>
              <w:top w:val="single" w:color="888888" w:sz="4"/>
              <w:left w:val="single" w:color="888888" w:sz="4"/>
              <w:bottom w:val="single" w:color="888888" w:sz="4"/>
              <w:right w:val="single" w:color="888888" w:sz="4"/>
            </w:tcBorders>
            <w:shd w:fill="D9D9D9"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i w:val="false"/>
                <w:iCs w:val="false"/>
                <w:color w:val="000000"/>
                <w:sz w:val="18"/>
                <w:szCs w:val="18"/>
              </w:rPr>
              <w:t xml:space="preserve">Vi: Visualization   Su: Supervision   P: Project admin.   Fu: Funding acquisition</w:t>
            </w:r>
          </w:p>
        </w:tc>
      </w:tr>
    </w:tbl>
    <w:p>
      <w:pPr>
        <w:spacing w:after="60" w:before="120"/>
        <w:jc w:val="left"/>
      </w:pPr>
      <w:r>
        <w:rPr>
          <w:rFonts w:ascii="Times New Roman" w:cs="Times New Roman" w:eastAsia="Times New Roman" w:hAnsi="Times New Roman"/>
          <w:b/>
          <w:bCs/>
          <w:i w:val="false"/>
          <w:iCs w:val="false"/>
          <w:color w:val="000000"/>
          <w:sz w:val="20"/>
          <w:szCs w:val="20"/>
        </w:rPr>
        <w:t xml:space="preserve">CONFLICT OF INTEREST STATEMENT</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Authors state no conflict of interest.</w:t>
      </w:r>
    </w:p>
    <w:p>
      <w:pPr>
        <w:spacing w:after="60" w:before="120"/>
        <w:jc w:val="left"/>
      </w:pPr>
      <w:r>
        <w:rPr>
          <w:rFonts w:ascii="Times New Roman" w:cs="Times New Roman" w:eastAsia="Times New Roman" w:hAnsi="Times New Roman"/>
          <w:b/>
          <w:bCs/>
          <w:i w:val="false"/>
          <w:iCs w:val="false"/>
          <w:color w:val="000000"/>
          <w:sz w:val="20"/>
          <w:szCs w:val="20"/>
        </w:rPr>
        <w:t xml:space="preserve">DATA AVAILABILITY</w:t>
      </w:r>
    </w:p>
    <w:p>
      <w:pPr>
        <w:spacing w:after="80" w:before="0" w:line="240" w:lineRule="auto"/>
        <w:jc w:val="both"/>
      </w:pPr>
      <w:r>
        <w:rPr>
          <w:rFonts w:ascii="Times New Roman" w:cs="Times New Roman" w:eastAsia="Times New Roman" w:hAnsi="Times New Roman"/>
          <w:b w:val="false"/>
          <w:bCs w:val="false"/>
          <w:i w:val="false"/>
          <w:iCs w:val="false"/>
          <w:color w:val="000000"/>
          <w:sz w:val="20"/>
          <w:szCs w:val="20"/>
        </w:rPr>
        <w:t xml:space="preserve">The data and computational model supporting the findings of this study are available from the corresponding author upon reasonable request. The demo system is accessible at https://mcdm.mediapatner.com/</w:t>
      </w:r>
    </w:p>
    <w:p>
      <w:pPr>
        <w:spacing w:after="60" w:before="120"/>
        <w:jc w:val="left"/>
      </w:pPr>
      <w:r>
        <w:rPr>
          <w:rFonts w:ascii="Times New Roman" w:cs="Times New Roman" w:eastAsia="Times New Roman" w:hAnsi="Times New Roman"/>
          <w:b/>
          <w:bCs/>
          <w:i w:val="false"/>
          <w:iCs w:val="false"/>
          <w:color w:val="000000"/>
          <w:sz w:val="20"/>
          <w:szCs w:val="20"/>
        </w:rPr>
        <w:t xml:space="preserve">REFERENCES</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[1] A. Batiha, "Evaluating nurse-to-patient ratio legislation to improve patient safety and care quality: A mixed-methods policy study," Appl. Nurs. Res., vol. 84, p. 151989, 2025.</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[2] Q. Zhang et al., "Barriers and facilitators to the application of nurse practitioners’ training pilot programs in China," Nurse Educ. Today, vol. 145, p. 106501, 2025.</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[3] M. Pelayo-Díaz and I. Tovar-García, "Organizational culture and leadership style in Spanish hospitals: Effects on knowledge management and efficiency," Heliyon, vol. 10, 2024.</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[4] Z. Yang et al., "The effect of nomophobic behaviors among nurses on their clinical decision-making perceptions," Nurse Educ. Pract., vol. 77, p. 103978, 2024.</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[5] G. Yang, "The construction of nursing performance evaluation model in community health service center based on the balanced scorecard and hygiene factors," Sci. Rep., pp. 1–8, 2022, doi: 10.1038/s41598-022-26334-4.</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[6] C. Liu, H. Zhou, Y. Jin, Y. Chuang, and C. Chien, "Application of a hybrid model for evaluation and improvement of nurses’ job satisfaction," Front. Public Health, vol. 10, pp. 1–13, 2022.</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[7] Y. Li, D. Xu, W. Chen, L. Yu, and Z. Wu, "Performance evaluation index system in public hospitals: The Delphi technique in nursing," Int. J. Health Plann. Manage., vol. 38, no. 1, pp. 204–213, 2023, doi: 10.1002/hpm.3581.</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[8] H. Regragui, N. Sefiani, H. Azzouzi, and N. Cheikhrouhou, "A hybrid multi-criteria decision-making approach for hospitals’ sustainability performance evaluation under fuzzy environment," Sustainability, 2023.</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[9] S. Zhang, S. Zhang, F. Zhu, M. Deveci, and X. Liu, "Integrating case learning and consensus reaching in multi-criteria group sorting under hybrid assessment information," Eng. Appl. Artif. Intell., vol. 146, p. 110323, 2025.</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[10] Z. Wang, H. Liu, and X. Fan, "Hybrid machine learning and MCDM framework for consumer preference extraction and decision support," Technol. Soc., vol. 82, p. 102926, 2025.</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[11] H. Mohammed et al., "Assessment of nurses’ workplace silence behaviour motives: A cross-sectional study," Int. J. Nurs. Sci., vol. 11, no. 5, pp. 553–562, 2024.</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[12] J. Hapi, Y. Yang, and T. N. Akudjedu, "Towards defining the competencies and leadership attributes for radiographer-led management in clinical practice: A scoping review," Radiography, vol. 31, p. 102969, 2025.</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[13] Virginia et al., "Mobile and wearable sensors for data-driven health monitoring system: State-of-the-art and future prospect," Expert Syst. Appl., vol. 202, p. 117362, 2022.</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[14] J. Toniolo et al., "Results of a Delphi study in France," Nurs. Outlook, vol. 73, no. 6, p. 102580, 2025.</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[15] A. Schilling et al., "Deep learning based decoding of single local field potential events," NeuroImage, vol. 297, p. 120696, 2024.</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[16] T. Sharma and A. Sarin, "Multi-criteria decision making for solar site selection in Punjab, India: An evaluation using hybrid MCDM techniques," Results Eng., vol. 27, p. 106288, 2025.</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[17] A. Qaroush, "Graph-based centrality framework for effective multi-video summarization," Inf. Process. Manag., vol. 62, no. 6, p. 104276, 2025.</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[18] T. Zhu, Y. Yu, and T. Tao, "A comprehensive evaluation of liposome/water partition coefficient prediction models based on the TOPSIS method," J. Hazard. Mater., vol. 443, p. 130181, 2023.</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[19] B. Sahoo and B. K. Debnath, "A novel hybrid spherical fuzzy multi-criteria decision-making approach to select the best hydroelectric power plant source in India," Renew. Energy Focus, vol. 51, p. 100650, 2024.</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[20] M. Kirisci, S. Kuzu, and A. Kablan, "The handling of healthcare waste analysis with an interval-valued Fermatean fuzzy-based decision-making technique," Sustain. Futur., vol. 9, p. 100581, 2025.</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[21] S. Asif, "Cache-MCDM: A hybrid caching scheme in Mobile Named Data Networks based on multi-criteria decision making," Futur. Gener. Comput. Syst., vol. 154, pp. 344–358, 2024.</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[22] L. D. Long, "Integrating the group-based fuzzy best-worst method and fuzzy TOPSIS for selecting contractors for heritage building renovation projects," Eng. Appl. Artif. Intell., vol. 142, p. 109928, 2025.</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[23] Fatkhurrochman, R. D. Handayani, Y. Febriani, and T. Yusnanto, "Web-Based Information and Reservation Media for VW Safari Borobudur," Int. J. Comput. Inf. Syst., vol. 4, no. 2, 2023.</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[24] A. Pramanik, A. N. Kayes, A. U. Fahim, K. Mst, and H. Tuba, "SME development for poverty alleviation using GIS and AHP-based multi-criteria decision analysis," Sustain. Futur., vol. 11, p. 101598, 2026.</w:t>
      </w:r>
    </w:p>
    <w:p>
      <w:pPr>
        <w:spacing w:after="40" w:before="0" w:line="200" w:lineRule="auto"/>
        <w:ind w:left="360" w:hanging="360"/>
        <w:jc w:val="both"/>
      </w:pPr>
      <w:r>
        <w:rPr>
          <w:rFonts w:ascii="Times New Roman" w:cs="Times New Roman" w:eastAsia="Times New Roman" w:hAnsi="Times New Roman"/>
          <w:b w:val="false"/>
          <w:bCs w:val="false"/>
          <w:i w:val="false"/>
          <w:iCs w:val="false"/>
          <w:color w:val="000000"/>
          <w:sz w:val="16"/>
          <w:szCs w:val="16"/>
        </w:rPr>
        <w:t xml:space="preserve">[25] W. Wahyu Putra, "The best tourism recommendation system in Yogyakarta city with the integration of MFEP and K-Means clustering methods," vol. 8, no. 3, pp. 203–211, 2025.</w:t>
      </w:r>
    </w:p>
    <w:sectPr>
      <w:headerReference w:type="default" r:id="rId7"/>
      <w:pgSz w:w="11907" w:h="16840" w:orient="portrait"/>
      <w:pgMar w:top="1418" w:right="1418" w:bottom="1418" w:left="1701"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both"/>
    </w:pPr>
    <w:r>
      <w:rPr>
        <w:rFonts w:ascii="Times New Roman" w:cs="Times New Roman" w:eastAsia="Times New Roman" w:hAnsi="Times New Roman"/>
        <w:b w:val="false"/>
        <w:bCs w:val="false"/>
        <w:i w:val="false"/>
        <w:iCs w:val="false"/>
        <w:color w:val="000000"/>
        <w:sz w:val="18"/>
        <w:szCs w:val="18"/>
      </w:rPr>
      <w:t xml:space="preserve">TELKOMNIKA Telecommun Comput El Control</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ISSN: 1693-6930</w:t>
    </w:r>
  </w:p>
  <w:p>
    <w:pPr>
      <w:pBdr>
        <w:bottom w:val="single" w:color="000000" w:sz="6" w:space="1"/>
      </w:pBdr>
      <w:spacing w:after="0" w:before="0"/>
    </w:pPr>
    <w:r>
      <w:rPr>
        <w:rFonts w:ascii="Times New Roman" w:cs="Times New Roman" w:eastAsia="Times New Roman" w:hAnsi="Times New Roman"/>
        <w:b w:val="false"/>
        <w:bCs w:val="false"/>
        <w:i w:val="false"/>
        <w:iCs w:val="false"/>
        <w:color w:val="000000"/>
        <w:sz w:val="18"/>
        <w:szCs w:val="18"/>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60" w:before="120"/>
    </w:pPr>
    <w:rPr>
      <w:rFonts w:ascii="Times New Roman" w:cs="Times New Roman" w:eastAsia="Times New Roman" w:hAnsi="Times New Roman"/>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yzmb2khtoco4tj8cccq6f" Type="http://schemas.openxmlformats.org/officeDocument/2006/relationships/hyperlink" Target="https://creativecommons.org/licenses/by-sa/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2026-05-21T02:09:30.010Z</dcterms:created>
  <dcterms:modified xsi:type="dcterms:W3CDTF">2026-05-21T02:09:30.010Z</dcterms:modified>
</cp:coreProperties>
</file>

<file path=docProps/custom.xml><?xml version="1.0" encoding="utf-8"?>
<Properties xmlns="http://schemas.openxmlformats.org/officeDocument/2006/custom-properties" xmlns:vt="http://schemas.openxmlformats.org/officeDocument/2006/docPropsVTypes"/>
</file>