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Times New Roman" w:cs="Times New Roman" w:eastAsia="Times New Roman" w:hAnsi="Times New Roman"/>
          <w:b/>
          <w:bCs/>
          <w:i w:val="false"/>
          <w:iCs w:val="false"/>
          <w:sz w:val="24"/>
          <w:szCs w:val="24"/>
        </w:rPr>
        <w:t xml:space="preserve">TELKOMNIKA Telecommunication Computing Electronics and Control</w:t>
      </w:r>
    </w:p>
    <w:p>
      <w:pPr>
        <w:spacing w:after="20" w:before="0"/>
        <w:jc w:val="center"/>
      </w:pPr>
      <w:r>
        <w:rPr>
          <w:rFonts w:ascii="Times New Roman" w:cs="Times New Roman" w:eastAsia="Times New Roman" w:hAnsi="Times New Roman"/>
          <w:b w:val="false"/>
          <w:bCs w:val="false"/>
          <w:i w:val="false"/>
          <w:iCs w:val="false"/>
          <w:sz w:val="20"/>
          <w:szCs w:val="20"/>
        </w:rPr>
        <w:t xml:space="preserve">Vol. 23, No. 1, February 2025, pp. 1~12</w:t>
      </w:r>
    </w:p>
    <w:p>
      <w:pPr>
        <w:pBdr>
          <w:bottom w:val="single" w:color="000000" w:sz="4"/>
        </w:pBdr>
        <w:spacing w:after="120" w:before="0"/>
        <w:jc w:val="center"/>
      </w:pPr>
      <w:r>
        <w:rPr>
          <w:rFonts w:ascii="Times New Roman" w:cs="Times New Roman" w:eastAsia="Times New Roman" w:hAnsi="Times New Roman"/>
          <w:b w:val="false"/>
          <w:bCs w:val="false"/>
          <w:i w:val="false"/>
          <w:iCs w:val="false"/>
          <w:sz w:val="18"/>
          <w:szCs w:val="18"/>
        </w:rPr>
        <w:t xml:space="preserve">ISSN: 1693-6930, DOI: 10.12928/TELKOMNIKA.v23i1.XXXXX</w:t>
      </w:r>
    </w:p>
    <w:p>
      <w:pPr>
        <w:spacing w:after="100" w:before="200"/>
        <w:jc w:val="center"/>
      </w:pPr>
      <w:r>
        <w:rPr>
          <w:rFonts w:ascii="Times New Roman" w:cs="Times New Roman" w:eastAsia="Times New Roman" w:hAnsi="Times New Roman"/>
          <w:b/>
          <w:bCs/>
          <w:i w:val="false"/>
          <w:iCs w:val="false"/>
          <w:sz w:val="32"/>
          <w:szCs w:val="32"/>
        </w:rPr>
        <w:t xml:space="preserve">Conceptual Model of Nurse Performance Evaluation Based on Clustering and Hybrid Multi-Criteria Decision Making</w:t>
      </w:r>
    </w:p>
    <w:p>
      <w:pPr>
        <w:spacing w:after="60" w:before="60"/>
        <w:jc w:val="center"/>
      </w:pPr>
      <w:r>
        <w:rPr>
          <w:rFonts w:ascii="Times New Roman" w:cs="Times New Roman" w:eastAsia="Times New Roman" w:hAnsi="Times New Roman"/>
          <w:b/>
          <w:bCs/>
          <w:i w:val="false"/>
          <w:iCs w:val="false"/>
          <w:sz w:val="20"/>
          <w:szCs w:val="20"/>
        </w:rPr>
        <w:t xml:space="preserve">Fatkhurrochman</w:t>
      </w:r>
      <w:r>
        <w:rPr>
          <w:rFonts w:ascii="Times New Roman" w:cs="Times New Roman" w:eastAsia="Times New Roman" w:hAnsi="Times New Roman"/>
          <w:b/>
          <w:bCs/>
          <w:i w:val="false"/>
          <w:iCs w:val="false"/>
          <w:sz w:val="14"/>
          <w:szCs w:val="14"/>
        </w:rPr>
        <w:t xml:space="preserve">1</w:t>
      </w:r>
      <w:r>
        <w:rPr>
          <w:rFonts w:ascii="Times New Roman" w:cs="Times New Roman" w:eastAsia="Times New Roman" w:hAnsi="Times New Roman"/>
          <w:b/>
          <w:bCs/>
          <w:i w:val="false"/>
          <w:iCs w:val="false"/>
          <w:sz w:val="20"/>
          <w:szCs w:val="20"/>
        </w:rPr>
        <w:t xml:space="preserve">, Kapti</w:t>
      </w:r>
      <w:r>
        <w:rPr>
          <w:rFonts w:ascii="Times New Roman" w:cs="Times New Roman" w:eastAsia="Times New Roman" w:hAnsi="Times New Roman"/>
          <w:b/>
          <w:bCs/>
          <w:i w:val="false"/>
          <w:iCs w:val="false"/>
          <w:sz w:val="14"/>
          <w:szCs w:val="14"/>
        </w:rPr>
        <w:t xml:space="preserve">2</w:t>
      </w:r>
      <w:r>
        <w:rPr>
          <w:rFonts w:ascii="Times New Roman" w:cs="Times New Roman" w:eastAsia="Times New Roman" w:hAnsi="Times New Roman"/>
          <w:b/>
          <w:bCs/>
          <w:i w:val="false"/>
          <w:iCs w:val="false"/>
          <w:sz w:val="20"/>
          <w:szCs w:val="20"/>
        </w:rPr>
        <w:t xml:space="preserve">, Muhammad Abdul Muin</w:t>
      </w:r>
      <w:r>
        <w:rPr>
          <w:rFonts w:ascii="Times New Roman" w:cs="Times New Roman" w:eastAsia="Times New Roman" w:hAnsi="Times New Roman"/>
          <w:b/>
          <w:bCs/>
          <w:i w:val="false"/>
          <w:iCs w:val="false"/>
          <w:sz w:val="14"/>
          <w:szCs w:val="14"/>
        </w:rPr>
        <w:t xml:space="preserve">3</w:t>
      </w:r>
    </w:p>
    <w:p>
      <w:pPr>
        <w:spacing w:after="60" w:before="0" w:line="240"/>
        <w:jc w:val="center"/>
      </w:pPr>
      <w:r>
        <w:rPr>
          <w:rFonts w:ascii="Times New Roman" w:cs="Times New Roman" w:eastAsia="Times New Roman" w:hAnsi="Times New Roman"/>
          <w:b w:val="false"/>
          <w:bCs w:val="false"/>
          <w:i w:val="false"/>
          <w:iCs w:val="false"/>
          <w:sz w:val="16"/>
          <w:szCs w:val="16"/>
        </w:rPr>
        <w:t xml:space="preserve">1Department of Informatics Engineering, Universitas Ma'arif Nahdlatul Ulama Kebumen, Kebumen, Indonesia</w:t>
      </w:r>
    </w:p>
    <w:p>
      <w:pPr>
        <w:spacing w:after="60" w:before="0" w:line="240"/>
        <w:jc w:val="center"/>
      </w:pPr>
      <w:r>
        <w:rPr>
          <w:rFonts w:ascii="Times New Roman" w:cs="Times New Roman" w:eastAsia="Times New Roman" w:hAnsi="Times New Roman"/>
          <w:b w:val="false"/>
          <w:bCs w:val="false"/>
          <w:i w:val="false"/>
          <w:iCs w:val="false"/>
          <w:sz w:val="16"/>
          <w:szCs w:val="16"/>
        </w:rPr>
        <w:t xml:space="preserve">2Department of Informatics Engineering, Universitas Ma'arif Nahdlatul Ulama Kebumen, Kebumen, Indonesia</w:t>
      </w:r>
    </w:p>
    <w:p>
      <w:pPr>
        <w:spacing w:after="60" w:before="0" w:line="240"/>
        <w:jc w:val="center"/>
      </w:pPr>
      <w:r>
        <w:rPr>
          <w:rFonts w:ascii="Times New Roman" w:cs="Times New Roman" w:eastAsia="Times New Roman" w:hAnsi="Times New Roman"/>
          <w:b w:val="false"/>
          <w:bCs w:val="false"/>
          <w:i w:val="false"/>
          <w:iCs w:val="false"/>
          <w:sz w:val="16"/>
          <w:szCs w:val="16"/>
        </w:rPr>
        <w:t xml:space="preserve">3Department of Information Systems, Universitas Ma'arif Nahdlatul Ulama Kebumen, Kebumen, Indonesia</w:t>
      </w:r>
    </w:p>
    <w:p>
      <w:pPr>
        <w:spacing w:after="80" w:before="0"/>
      </w:pPr>
      <w:r>
        <w:rPr>
          <w:rFonts w:ascii="Times New Roman" w:cs="Times New Roman" w:eastAsia="Times New Roman" w:hAnsi="Times New Roman"/>
          <w:b w:val="false"/>
          <w:bCs w:val="false"/>
          <w:i w:val="false"/>
          <w:iCs w:val="false"/>
          <w:sz w:val="20"/>
          <w:szCs w:val="20"/>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60"/>
        <w:gridCol w:w="6894"/>
      </w:tblGrid>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before="0"/>
              <w:jc w:val="left"/>
            </w:pPr>
            <w:r>
              <w:rPr>
                <w:rFonts w:ascii="Times New Roman" w:cs="Times New Roman" w:eastAsia="Times New Roman" w:hAnsi="Times New Roman"/>
                <w:b/>
                <w:bCs/>
                <w:i w:val="false"/>
                <w:iCs w:val="false"/>
                <w:sz w:val="20"/>
                <w:szCs w:val="20"/>
              </w:rPr>
              <w:t xml:space="preserve">Article Info</w:t>
            </w:r>
          </w:p>
          <w:p>
            <w:pPr>
              <w:spacing w:after="20" w:before="0"/>
              <w:jc w:val="left"/>
            </w:pPr>
            <w:r>
              <w:rPr>
                <w:rFonts w:ascii="Times New Roman" w:cs="Times New Roman" w:eastAsia="Times New Roman" w:hAnsi="Times New Roman"/>
                <w:b w:val="false"/>
                <w:bCs w:val="false"/>
                <w:i/>
                <w:iCs/>
                <w:sz w:val="20"/>
                <w:szCs w:val="20"/>
              </w:rPr>
              <w:t xml:space="preserve">Article history:</w:t>
            </w:r>
          </w:p>
          <w:p>
            <w:pPr>
              <w:spacing w:after="20" w:before="0"/>
              <w:jc w:val="left"/>
            </w:pPr>
            <w:r>
              <w:rPr>
                <w:rFonts w:ascii="Times New Roman" w:cs="Times New Roman" w:eastAsia="Times New Roman" w:hAnsi="Times New Roman"/>
                <w:b w:val="false"/>
                <w:bCs w:val="false"/>
                <w:i w:val="false"/>
                <w:iCs w:val="false"/>
                <w:sz w:val="20"/>
                <w:szCs w:val="20"/>
              </w:rPr>
              <w:t xml:space="preserve">Received Jan 15, 2025</w:t>
            </w:r>
          </w:p>
          <w:p>
            <w:pPr>
              <w:spacing w:after="20" w:before="0"/>
              <w:jc w:val="left"/>
            </w:pPr>
            <w:r>
              <w:rPr>
                <w:rFonts w:ascii="Times New Roman" w:cs="Times New Roman" w:eastAsia="Times New Roman" w:hAnsi="Times New Roman"/>
                <w:b w:val="false"/>
                <w:bCs w:val="false"/>
                <w:i w:val="false"/>
                <w:iCs w:val="false"/>
                <w:sz w:val="20"/>
                <w:szCs w:val="20"/>
              </w:rPr>
              <w:t xml:space="preserve">Revised Feb 10, 2025</w:t>
            </w:r>
          </w:p>
          <w:p>
            <w:pPr>
              <w:spacing w:after="60" w:before="0"/>
              <w:jc w:val="left"/>
            </w:pPr>
            <w:r>
              <w:rPr>
                <w:rFonts w:ascii="Times New Roman" w:cs="Times New Roman" w:eastAsia="Times New Roman" w:hAnsi="Times New Roman"/>
                <w:b w:val="false"/>
                <w:bCs w:val="false"/>
                <w:i w:val="false"/>
                <w:iCs w:val="false"/>
                <w:sz w:val="20"/>
                <w:szCs w:val="20"/>
              </w:rPr>
              <w:t xml:space="preserve">Accepted Mar 05, 2025</w:t>
            </w:r>
          </w:p>
          <w:p>
            <w:pPr>
              <w:spacing w:after="20" w:before="0"/>
              <w:jc w:val="left"/>
            </w:pPr>
            <w:r>
              <w:rPr>
                <w:rFonts w:ascii="Times New Roman" w:cs="Times New Roman" w:eastAsia="Times New Roman" w:hAnsi="Times New Roman"/>
                <w:b w:val="false"/>
                <w:bCs w:val="false"/>
                <w:i/>
                <w:iCs/>
                <w:sz w:val="20"/>
                <w:szCs w:val="20"/>
              </w:rPr>
              <w:t xml:space="preserve">Keywords:</w:t>
            </w:r>
          </w:p>
          <w:p>
            <w:pPr>
              <w:spacing w:after="10" w:before="0"/>
              <w:jc w:val="left"/>
            </w:pPr>
            <w:r>
              <w:rPr>
                <w:rFonts w:ascii="Times New Roman" w:cs="Times New Roman" w:eastAsia="Times New Roman" w:hAnsi="Times New Roman"/>
                <w:b w:val="false"/>
                <w:bCs w:val="false"/>
                <w:i w:val="false"/>
                <w:iCs w:val="false"/>
                <w:sz w:val="20"/>
                <w:szCs w:val="20"/>
              </w:rPr>
              <w:t xml:space="preserve">AHP</w:t>
            </w:r>
          </w:p>
          <w:p>
            <w:pPr>
              <w:spacing w:after="10" w:before="0"/>
              <w:jc w:val="left"/>
            </w:pPr>
            <w:r>
              <w:rPr>
                <w:rFonts w:ascii="Times New Roman" w:cs="Times New Roman" w:eastAsia="Times New Roman" w:hAnsi="Times New Roman"/>
                <w:b w:val="false"/>
                <w:bCs w:val="false"/>
                <w:i w:val="false"/>
                <w:iCs w:val="false"/>
                <w:sz w:val="20"/>
                <w:szCs w:val="20"/>
              </w:rPr>
              <w:t xml:space="preserve">Clustering</w:t>
            </w:r>
          </w:p>
          <w:p>
            <w:pPr>
              <w:spacing w:after="10" w:before="0"/>
              <w:jc w:val="left"/>
            </w:pPr>
            <w:r>
              <w:rPr>
                <w:rFonts w:ascii="Times New Roman" w:cs="Times New Roman" w:eastAsia="Times New Roman" w:hAnsi="Times New Roman"/>
                <w:b w:val="false"/>
                <w:bCs w:val="false"/>
                <w:i w:val="false"/>
                <w:iCs w:val="false"/>
                <w:sz w:val="20"/>
                <w:szCs w:val="20"/>
              </w:rPr>
              <w:t xml:space="preserve">K-Means</w:t>
            </w:r>
          </w:p>
          <w:p>
            <w:pPr>
              <w:spacing w:after="10" w:before="0"/>
              <w:jc w:val="left"/>
            </w:pPr>
            <w:r>
              <w:rPr>
                <w:rFonts w:ascii="Times New Roman" w:cs="Times New Roman" w:eastAsia="Times New Roman" w:hAnsi="Times New Roman"/>
                <w:b w:val="false"/>
                <w:bCs w:val="false"/>
                <w:i w:val="false"/>
                <w:iCs w:val="false"/>
                <w:sz w:val="20"/>
                <w:szCs w:val="20"/>
              </w:rPr>
              <w:t xml:space="preserve">MCDM</w:t>
            </w:r>
          </w:p>
          <w:p>
            <w:pPr>
              <w:spacing w:after="10" w:before="0"/>
              <w:jc w:val="left"/>
            </w:pPr>
            <w:r>
              <w:rPr>
                <w:rFonts w:ascii="Times New Roman" w:cs="Times New Roman" w:eastAsia="Times New Roman" w:hAnsi="Times New Roman"/>
                <w:b w:val="false"/>
                <w:bCs w:val="false"/>
                <w:i w:val="false"/>
                <w:iCs w:val="false"/>
                <w:sz w:val="20"/>
                <w:szCs w:val="20"/>
              </w:rPr>
              <w:t xml:space="preserve">Nurse Performance</w:t>
            </w:r>
          </w:p>
          <w:p>
            <w:pPr>
              <w:spacing w:after="10" w:before="0"/>
              <w:jc w:val="left"/>
            </w:pPr>
            <w:r>
              <w:rPr>
                <w:rFonts w:ascii="Times New Roman" w:cs="Times New Roman" w:eastAsia="Times New Roman" w:hAnsi="Times New Roman"/>
                <w:b w:val="false"/>
                <w:bCs w:val="false"/>
                <w:i w:val="false"/>
                <w:iCs w:val="false"/>
                <w:sz w:val="20"/>
                <w:szCs w:val="20"/>
              </w:rPr>
              <w:t xml:space="preserve">TOPSIS</w:t>
            </w:r>
          </w:p>
          <w:p>
            <w:pPr>
              <w:spacing w:after="60" w:before="0"/>
              <w:jc w:val="left"/>
            </w:pPr>
            <w:r>
              <w:rPr>
                <w:rFonts w:ascii="Times New Roman" w:cs="Times New Roman" w:eastAsia="Times New Roman" w:hAnsi="Times New Roman"/>
                <w:b w:val="false"/>
                <w:bCs w:val="false"/>
                <w:i w:val="false"/>
                <w:iCs w:val="false"/>
                <w:sz w:val="20"/>
                <w:szCs w:val="20"/>
              </w:rPr>
              <w:t xml:space="preserve">Weighted Product</w:t>
            </w:r>
          </w:p>
          <w:p>
            <w:pPr>
              <w:spacing w:after="20" w:before="0"/>
              <w:jc w:val="left"/>
            </w:pPr>
            <w:r>
              <w:rPr>
                <w:rFonts w:ascii="Times New Roman" w:cs="Times New Roman" w:eastAsia="Times New Roman" w:hAnsi="Times New Roman"/>
                <w:b w:val="false"/>
                <w:bCs w:val="false"/>
                <w:i/>
                <w:iCs/>
                <w:sz w:val="20"/>
                <w:szCs w:val="20"/>
              </w:rPr>
              <w:t xml:space="preserve">Corresponding Author:</w:t>
            </w:r>
          </w:p>
          <w:p>
            <w:pPr>
              <w:spacing w:after="10" w:before="0"/>
              <w:jc w:val="left"/>
            </w:pPr>
            <w:r>
              <w:rPr>
                <w:rFonts w:ascii="Times New Roman" w:cs="Times New Roman" w:eastAsia="Times New Roman" w:hAnsi="Times New Roman"/>
                <w:b w:val="false"/>
                <w:bCs w:val="false"/>
                <w:i w:val="false"/>
                <w:iCs w:val="false"/>
                <w:sz w:val="20"/>
                <w:szCs w:val="20"/>
              </w:rPr>
              <w:t xml:space="preserve">Fatkhurrochman</w:t>
            </w:r>
          </w:p>
          <w:p>
            <w:pPr>
              <w:spacing w:after="10" w:before="0"/>
              <w:jc w:val="left"/>
            </w:pPr>
            <w:r>
              <w:rPr>
                <w:rFonts w:ascii="Times New Roman" w:cs="Times New Roman" w:eastAsia="Times New Roman" w:hAnsi="Times New Roman"/>
                <w:b w:val="false"/>
                <w:bCs w:val="false"/>
                <w:i w:val="false"/>
                <w:iCs w:val="false"/>
                <w:sz w:val="20"/>
                <w:szCs w:val="20"/>
              </w:rPr>
              <w:t xml:space="preserve">Department of Informatics Engineering</w:t>
            </w:r>
          </w:p>
          <w:p>
            <w:pPr>
              <w:spacing w:after="10" w:before="0"/>
              <w:jc w:val="left"/>
            </w:pPr>
            <w:r>
              <w:rPr>
                <w:rFonts w:ascii="Times New Roman" w:cs="Times New Roman" w:eastAsia="Times New Roman" w:hAnsi="Times New Roman"/>
                <w:b w:val="false"/>
                <w:bCs w:val="false"/>
                <w:i w:val="false"/>
                <w:iCs w:val="false"/>
                <w:sz w:val="20"/>
                <w:szCs w:val="20"/>
              </w:rPr>
              <w:t xml:space="preserve">Universitas Ma'arif Nahdlatul Ulama Kebumen</w:t>
            </w:r>
          </w:p>
          <w:p>
            <w:pPr>
              <w:spacing w:after="10" w:before="0"/>
              <w:jc w:val="left"/>
            </w:pPr>
            <w:r>
              <w:rPr>
                <w:rFonts w:ascii="Times New Roman" w:cs="Times New Roman" w:eastAsia="Times New Roman" w:hAnsi="Times New Roman"/>
                <w:b w:val="false"/>
                <w:bCs w:val="false"/>
                <w:i w:val="false"/>
                <w:iCs w:val="false"/>
                <w:sz w:val="20"/>
                <w:szCs w:val="20"/>
              </w:rPr>
              <w:t xml:space="preserve">Email: fatkhurrochman@umnu.ac.id</w:t>
            </w:r>
          </w:p>
        </w:tc>
        <w:tc>
          <w:tcPr>
            <w:tcW w:type="dxa" w:w="60"/>
            <w:tcBorders>
              <w:top w:val="none" w:color="FFFFFF" w:sz="0"/>
              <w:left w:val="none" w:color="FFFFFF" w:sz="0"/>
              <w:bottom w:val="none" w:color="FFFFFF" w:sz="0"/>
              <w:right w:val="none" w:color="FFFFFF" w:sz="0"/>
            </w:tcBorders>
          </w:tcPr>
          <w:p>
            <w:pPr>
              <w:spacing w:after="6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68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60" w:before="0"/>
              <w:jc w:val="left"/>
            </w:pPr>
            <w:r>
              <w:rPr>
                <w:rFonts w:ascii="Times New Roman" w:cs="Times New Roman" w:eastAsia="Times New Roman" w:hAnsi="Times New Roman"/>
                <w:b/>
                <w:bCs/>
                <w:i w:val="false"/>
                <w:iCs w:val="false"/>
                <w:sz w:val="20"/>
                <w:szCs w:val="20"/>
              </w:rPr>
              <w:t xml:space="preserve">ABSTRACT</w:t>
            </w:r>
          </w:p>
          <w:p>
            <w:pPr>
              <w:spacing w:after="60" w:before="0" w:line="240"/>
              <w:jc w:val="both"/>
            </w:pPr>
            <w:r>
              <w:rPr>
                <w:rFonts w:ascii="Times New Roman" w:cs="Times New Roman" w:eastAsia="Times New Roman" w:hAnsi="Times New Roman"/>
                <w:b w:val="false"/>
                <w:bCs w:val="false"/>
                <w:i w:val="false"/>
                <w:iCs w:val="false"/>
                <w:sz w:val="20"/>
                <w:szCs w:val="20"/>
              </w:rPr>
              <w:t xml:space="preserve">Nurse performance evaluation in healthcare institutions often remains subjective, partial, and unable to comprehensively capture the multidimensional complexity of nursing performance. This study proposes a conceptual model of nurse performance evaluation integrating K-Means clustering and hybrid Multi-Criteria Decision Making (MCDM). The model employs seven performance criteria: clinical competence, professionalism, team collaboration, outcome orientation, patient safety, time management, and communication. The Analytical Hierarchy Process (AHP) is used for criteria weighting (CR = 0.036 &lt; 0.1), confirming consistency. Weighted Product (WP) aggregates performance scores, while Technique for Order Preference by Similarity to Ideal Solution (TOPSIS) validates the ranking. The K-Means algorithm segments ten nurses into three performance clusters—High (K1: 4 nurses), Medium (K2: 2 nurses), and Low (K3: 4 nurses)—converging at iteration 3. The Silhouette Score of 0.348 indicates moderate cluster separation. WP–TOPSIS ranking consistency reached 100%, confirming the model's reliability. The top-ranked nurse (Citra Dewi) achieved a WP score of 8.828 and a TOPSIS closeness coefficient of 0.954. The proposed conceptual model provides a systematic, objective, and transparent framework for evidence-based nurse performance assessment, supporting healthcare managerial decision-making.</w:t>
            </w:r>
          </w:p>
          <w:p>
            <w:pPr>
              <w:spacing w:after="0" w:before="0"/>
              <w:jc w:val="left"/>
            </w:pPr>
            <w:r>
              <w:rPr>
                <w:rFonts w:ascii="Times New Roman" w:cs="Times New Roman" w:eastAsia="Times New Roman" w:hAnsi="Times New Roman"/>
                <w:b w:val="false"/>
                <w:bCs w:val="false"/>
                <w:i/>
                <w:iCs/>
                <w:sz w:val="18"/>
                <w:szCs w:val="18"/>
              </w:rPr>
              <w:t xml:space="preserve">This is an open access article under the CC BY-SA license.</w:t>
            </w:r>
          </w:p>
        </w:tc>
      </w:tr>
    </w:tbl>
    <w:p>
      <w:pPr>
        <w:spacing w:after="100" w:before="0"/>
      </w:pPr>
      <w:r>
        <w:rPr>
          <w:rFonts w:ascii="Times New Roman" w:cs="Times New Roman" w:eastAsia="Times New Roman" w:hAnsi="Times New Roman"/>
          <w:b w:val="false"/>
          <w:bCs w:val="false"/>
          <w:i w:val="false"/>
          <w:iCs w:val="false"/>
          <w:sz w:val="20"/>
          <w:szCs w:val="20"/>
        </w:rPr>
        <w:t xml:space="preserve"/>
      </w:r>
    </w:p>
    <w:tbl>
      <w:tblPr>
        <w:tblW w:type="dxa" w:w="9354"/>
        <w:tblBorders>
          <w:top w:val="none" w:color="FFFFFF" w:sz="0"/>
          <w:left w:val="none" w:color="FFFFFF" w:sz="0"/>
          <w:bottom w:val="none" w:color="FFFFFF" w:sz="0"/>
          <w:right w:val="none" w:color="FFFFFF" w:sz="0"/>
          <w:insideH w:val="single" w:color="auto" w:sz="4"/>
          <w:insideV w:val="single" w:color="auto" w:sz="4"/>
        </w:tblBorders>
      </w:tblPr>
      <w:tblGrid>
        <w:gridCol w:w="4497"/>
        <w:gridCol w:w="360"/>
        <w:gridCol w:w="4497"/>
      </w:tblGrid>
      <w:tr>
        <w:tc>
          <w:tcPr>
            <w:tcW w:type="dxa" w:w="4497"/>
            <w:tcBorders>
              <w:top w:val="none" w:color="FFFFFF" w:sz="0"/>
              <w:left w:val="none" w:color="FFFFFF" w:sz="0"/>
              <w:bottom w:val="none" w:color="FFFFFF" w:sz="0"/>
              <w:right w:val="none" w:color="FFFFFF" w:sz="0"/>
            </w:tcBorders>
          </w:tcPr>
          <w:p>
            <w:pPr>
              <w:spacing w:after="60" w:before="100"/>
              <w:jc w:val="left"/>
            </w:pPr>
            <w:r>
              <w:rPr>
                <w:rFonts w:ascii="Times New Roman" w:cs="Times New Roman" w:eastAsia="Times New Roman" w:hAnsi="Times New Roman"/>
                <w:b/>
                <w:bCs/>
                <w:i w:val="false"/>
                <w:iCs w:val="false"/>
                <w:sz w:val="20"/>
                <w:szCs w:val="20"/>
              </w:rPr>
              <w:t xml:space="preserve">1. INTRODUCTION</w:t>
            </w:r>
          </w:p>
          <w:p>
            <w:pPr>
              <w:spacing w:after="60" w:before="0" w:line="240"/>
              <w:jc w:val="both"/>
            </w:pPr>
            <w:r>
              <w:rPr>
                <w:rFonts w:ascii="Times New Roman" w:cs="Times New Roman" w:eastAsia="Times New Roman" w:hAnsi="Times New Roman"/>
                <w:b w:val="false"/>
                <w:bCs w:val="false"/>
                <w:i w:val="false"/>
                <w:iCs w:val="false"/>
                <w:sz w:val="20"/>
                <w:szCs w:val="20"/>
              </w:rPr>
              <w:t xml:space="preserve">Nurses represent the most intensive point of contact between healthcare institutions and patients. Their performance quality directly influences patient safety, care quality, and institutional reputation [1]. As healthcare complexity increases, evidence-based nurse performance evaluation becomes a strategic priority in health management decision-making [2].</w:t>
            </w:r>
          </w:p>
          <w:p>
            <w:pPr>
              <w:spacing w:after="60" w:before="0" w:line="240"/>
              <w:jc w:val="both"/>
            </w:pPr>
            <w:r>
              <w:rPr>
                <w:rFonts w:ascii="Times New Roman" w:cs="Times New Roman" w:eastAsia="Times New Roman" w:hAnsi="Times New Roman"/>
                <w:b w:val="false"/>
                <w:bCs w:val="false"/>
                <w:i w:val="false"/>
                <w:iCs w:val="false"/>
                <w:sz w:val="20"/>
                <w:szCs w:val="20"/>
              </w:rPr>
              <w:t xml:space="preserve">Conventional evaluation systems predominantly assess administrative performance or individual aspects in isolation, neglecting interrelationships among performance dimensions such as clinical competency, professionalism, team collaboration, outcome orientation, and patient safety [3]. Such fragmented approaches may introduce evaluation bias, diminish nurse motivation, and negatively affect overall healthcare service quality [4].</w:t>
            </w:r>
          </w:p>
          <w:p>
            <w:pPr>
              <w:spacing w:after="60" w:before="0" w:line="240"/>
              <w:jc w:val="both"/>
            </w:pPr>
            <w:r>
              <w:rPr>
                <w:rFonts w:ascii="Times New Roman" w:cs="Times New Roman" w:eastAsia="Times New Roman" w:hAnsi="Times New Roman"/>
                <w:b w:val="false"/>
                <w:bCs w:val="false"/>
                <w:i w:val="false"/>
                <w:iCs w:val="false"/>
                <w:sz w:val="20"/>
                <w:szCs w:val="20"/>
              </w:rPr>
              <w:t xml:space="preserve">Multi-Criteria Decision Making (MCDM) methods have gained traction in healthcare management due to their capacity to integrate multiple performance dimensions simultaneously. Yang [5] applied Balanced Scorecard combined with AHP to develop a nursing performance evaluation model in community health service centers. Liu et al. [6] employed a hybrid MCDM approach integrating DEMATEL and IPA for nurse job satisfaction evaluation, while Li et al. [7] used the Delphi technique to construct a performance evaluation index system for public hospitals. Regragui et al. [8] proposed fuzzy MCDM for hospital sustainability performance evaluation.</w:t>
            </w:r>
          </w:p>
          <w:p>
            <w:pPr>
              <w:spacing w:after="60" w:before="0" w:line="240"/>
              <w:jc w:val="both"/>
            </w:pPr>
            <w:r>
              <w:rPr>
                <w:rFonts w:ascii="Times New Roman" w:cs="Times New Roman" w:eastAsia="Times New Roman" w:hAnsi="Times New Roman"/>
                <w:b w:val="false"/>
                <w:bCs w:val="false"/>
                <w:i w:val="false"/>
                <w:iCs w:val="false"/>
                <w:sz w:val="20"/>
                <w:szCs w:val="20"/>
              </w:rPr>
              <w:t xml:space="preserve">However, the majority of existing models apply a single MCDM approach without incorporating exploratory data analysis methods such as clustering, resulting in a loss of structural information regarding performance patterns. The combination of K-Means clustering with hybrid MCDM (AHP–WP–TOPSIS) for nurse performance evaluation has not been extensively explored in the literature [9], [10].</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This study proposes a conceptual model integrating K-Means clustering for performance segmentation with a hybrid MCDM approach for comprehensive ranking and validation. The model addresses three limitations of existing approaches: (1) subjectivity and inconsistency in criterion weighting, (2) absence of performance pattern identification, and (3) lack of cross-method ranking validation. The proposed framework aims to provide objective, systematic, and transparent nurse performance evaluation to support health management decision-making [11].</w:t>
            </w:r>
          </w:p>
          <w:p>
            <w:pPr>
              <w:spacing w:after="60" w:before="100"/>
              <w:jc w:val="left"/>
            </w:pPr>
            <w:r>
              <w:rPr>
                <w:rFonts w:ascii="Times New Roman" w:cs="Times New Roman" w:eastAsia="Times New Roman" w:hAnsi="Times New Roman"/>
                <w:b/>
                <w:bCs/>
                <w:i w:val="false"/>
                <w:iCs w:val="false"/>
                <w:sz w:val="20"/>
                <w:szCs w:val="20"/>
              </w:rPr>
              <w:t xml:space="preserve">2. RESEARCH METHOD</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This research employs a fundamental analytic-conceptual approach designed to develop a conceptual model of nurse performance evaluation integrating K-Means clustering and hybrid MCDM. The methodology consists of seven sequential stages as illustrated in Figure 1.</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research procedures are as follows:</w:t>
            </w:r>
          </w:p>
          <w:p>
            <w:pPr>
              <w:spacing w:after="60" w:before="0" w:line="240"/>
              <w:jc w:val="both"/>
            </w:pPr>
            <w:r>
              <w:rPr>
                <w:rFonts w:ascii="Times New Roman" w:cs="Times New Roman" w:eastAsia="Times New Roman" w:hAnsi="Times New Roman"/>
                <w:b/>
                <w:bCs/>
                <w:i w:val="false"/>
                <w:iCs w:val="false"/>
                <w:sz w:val="20"/>
                <w:szCs w:val="20"/>
              </w:rPr>
              <w:t xml:space="preserve">Stage 1 – Literature Review and Criteria Identification: </w:t>
            </w:r>
            <w:r>
              <w:rPr>
                <w:rFonts w:ascii="Times New Roman" w:cs="Times New Roman" w:eastAsia="Times New Roman" w:hAnsi="Times New Roman"/>
                <w:b w:val="false"/>
                <w:bCs w:val="false"/>
                <w:i w:val="false"/>
                <w:iCs w:val="false"/>
                <w:sz w:val="20"/>
                <w:szCs w:val="20"/>
              </w:rPr>
              <w:t xml:space="preserve">Systematic literature review on Scopus-indexed journals (2019–2023) identifying relevant nurse performance dimensions. Seven criteria were selected: Clinical Competence (C1), Professionalism (C2), Team Collaboration (C3), Outcome Orientation (C4), Patient Safety (C5), Time Management (C6), and Communication (C7) [12], [13].</w:t>
            </w:r>
          </w:p>
          <w:p>
            <w:pPr>
              <w:spacing w:after="60" w:before="0" w:line="240"/>
              <w:jc w:val="both"/>
            </w:pPr>
            <w:r>
              <w:rPr>
                <w:rFonts w:ascii="Times New Roman" w:cs="Times New Roman" w:eastAsia="Times New Roman" w:hAnsi="Times New Roman"/>
                <w:b/>
                <w:bCs/>
                <w:i w:val="false"/>
                <w:iCs w:val="false"/>
                <w:sz w:val="20"/>
                <w:szCs w:val="20"/>
              </w:rPr>
              <w:t xml:space="preserve">Stage 2 – Expert Validation: </w:t>
            </w:r>
            <w:r>
              <w:rPr>
                <w:rFonts w:ascii="Times New Roman" w:cs="Times New Roman" w:eastAsia="Times New Roman" w:hAnsi="Times New Roman"/>
                <w:b w:val="false"/>
                <w:bCs w:val="false"/>
                <w:i w:val="false"/>
                <w:iCs w:val="false"/>
                <w:sz w:val="20"/>
                <w:szCs w:val="20"/>
              </w:rPr>
              <w:t xml:space="preserve">Criteria were validated by nursing academics and hospital management practitioners using content validity assessment (CVI ≥ 0.7) [14].</w:t>
            </w:r>
          </w:p>
          <w:p>
            <w:pPr>
              <w:spacing w:after="60" w:before="0" w:line="240"/>
              <w:jc w:val="both"/>
            </w:pPr>
            <w:r>
              <w:rPr>
                <w:rFonts w:ascii="Times New Roman" w:cs="Times New Roman" w:eastAsia="Times New Roman" w:hAnsi="Times New Roman"/>
                <w:b/>
                <w:bCs/>
                <w:i w:val="false"/>
                <w:iCs w:val="false"/>
                <w:sz w:val="20"/>
                <w:szCs w:val="20"/>
              </w:rPr>
              <w:t xml:space="preserve">Stage 3 – K-Means Clustering: </w:t>
            </w:r>
            <w:r>
              <w:rPr>
                <w:rFonts w:ascii="Times New Roman" w:cs="Times New Roman" w:eastAsia="Times New Roman" w:hAnsi="Times New Roman"/>
                <w:b w:val="false"/>
                <w:bCs w:val="false"/>
                <w:i w:val="false"/>
                <w:iCs w:val="false"/>
                <w:sz w:val="20"/>
                <w:szCs w:val="20"/>
              </w:rPr>
              <w:t xml:space="preserve">The K-Means algorithm segments nurses into k=3 clusters based on multidimensional performance patterns. Cluster validity is assessed using Silhouette Score (target ≥ 0.5) [15].</w:t>
            </w:r>
          </w:p>
          <w:p>
            <w:pPr>
              <w:spacing w:after="60" w:before="0" w:line="240"/>
              <w:jc w:val="both"/>
            </w:pPr>
            <w:r>
              <w:rPr>
                <w:rFonts w:ascii="Times New Roman" w:cs="Times New Roman" w:eastAsia="Times New Roman" w:hAnsi="Times New Roman"/>
                <w:b/>
                <w:bCs/>
                <w:i w:val="false"/>
                <w:iCs w:val="false"/>
                <w:sz w:val="20"/>
                <w:szCs w:val="20"/>
              </w:rPr>
              <w:t xml:space="preserve">Stage 4 – AHP Weighting: </w:t>
            </w:r>
            <w:r>
              <w:rPr>
                <w:rFonts w:ascii="Times New Roman" w:cs="Times New Roman" w:eastAsia="Times New Roman" w:hAnsi="Times New Roman"/>
                <w:b w:val="false"/>
                <w:bCs w:val="false"/>
                <w:i w:val="false"/>
                <w:iCs w:val="false"/>
                <w:sz w:val="20"/>
                <w:szCs w:val="20"/>
              </w:rPr>
              <w:t xml:space="preserve">Expert pairwise comparisons using Saaty's 1–9 scale establish criteria weights. Consistency is verified through Consistency Ratio (CR &lt; 0.1) [16].</w:t>
            </w:r>
          </w:p>
          <w:p>
            <w:pPr>
              <w:spacing w:after="60" w:before="0" w:line="240"/>
              <w:jc w:val="both"/>
            </w:pPr>
            <w:r>
              <w:rPr>
                <w:rFonts w:ascii="Times New Roman" w:cs="Times New Roman" w:eastAsia="Times New Roman" w:hAnsi="Times New Roman"/>
                <w:b/>
                <w:bCs/>
                <w:i w:val="false"/>
                <w:iCs w:val="false"/>
                <w:sz w:val="20"/>
                <w:szCs w:val="20"/>
              </w:rPr>
              <w:t xml:space="preserve">Stage 5 – Weighted Product (WP): </w:t>
            </w:r>
            <w:r>
              <w:rPr>
                <w:rFonts w:ascii="Times New Roman" w:cs="Times New Roman" w:eastAsia="Times New Roman" w:hAnsi="Times New Roman"/>
                <w:b w:val="false"/>
                <w:bCs w:val="false"/>
                <w:i w:val="false"/>
                <w:iCs w:val="false"/>
                <w:sz w:val="20"/>
                <w:szCs w:val="20"/>
              </w:rPr>
              <w:t xml:space="preserve">Performance scores are aggregated using the WP formula Si = ∏(Xij^Wj), which captures non-linear performance differences with higher sensitivity than linear methods [17].</w:t>
            </w:r>
          </w:p>
          <w:p>
            <w:pPr>
              <w:spacing w:after="60" w:before="0" w:line="240"/>
              <w:jc w:val="both"/>
            </w:pPr>
            <w:r>
              <w:rPr>
                <w:rFonts w:ascii="Times New Roman" w:cs="Times New Roman" w:eastAsia="Times New Roman" w:hAnsi="Times New Roman"/>
                <w:b/>
                <w:bCs/>
                <w:i w:val="false"/>
                <w:iCs w:val="false"/>
                <w:sz w:val="20"/>
                <w:szCs w:val="20"/>
              </w:rPr>
              <w:t xml:space="preserve">Stage 6 – TOPSIS Validation: </w:t>
            </w:r>
            <w:r>
              <w:rPr>
                <w:rFonts w:ascii="Times New Roman" w:cs="Times New Roman" w:eastAsia="Times New Roman" w:hAnsi="Times New Roman"/>
                <w:b w:val="false"/>
                <w:bCs w:val="false"/>
                <w:i w:val="false"/>
                <w:iCs w:val="false"/>
                <w:sz w:val="20"/>
                <w:szCs w:val="20"/>
              </w:rPr>
              <w:t xml:space="preserve">TOPSIS computes the closeness coefficient Ci = D−/(D+ + D−) to rank alternatives by proximity to the ideal positive solution. Ranking consistency with WP ≥ 75% is required [18].</w:t>
            </w:r>
          </w:p>
          <w:p>
            <w:pPr>
              <w:spacing w:after="80" w:before="0" w:line="240"/>
              <w:jc w:val="both"/>
            </w:pPr>
            <w:r>
              <w:rPr>
                <w:rFonts w:ascii="Times New Roman" w:cs="Times New Roman" w:eastAsia="Times New Roman" w:hAnsi="Times New Roman"/>
                <w:b/>
                <w:bCs/>
                <w:i w:val="false"/>
                <w:iCs w:val="false"/>
                <w:sz w:val="20"/>
                <w:szCs w:val="20"/>
              </w:rPr>
              <w:t xml:space="preserve">Stage 7 – Conceptual Model Formulation: </w:t>
            </w:r>
            <w:r>
              <w:rPr>
                <w:rFonts w:ascii="Times New Roman" w:cs="Times New Roman" w:eastAsia="Times New Roman" w:hAnsi="Times New Roman"/>
                <w:b w:val="false"/>
                <w:bCs w:val="false"/>
                <w:i w:val="false"/>
                <w:iCs w:val="false"/>
                <w:sz w:val="20"/>
                <w:szCs w:val="20"/>
              </w:rPr>
              <w:t xml:space="preserve">All analytical outputs are synthesized into a conceptual framework illustrating the evaluation flow, component relationships, and managerial decision implications [19].</w:t>
            </w:r>
          </w:p>
          <w:p>
            <w:pPr>
              <w:spacing w:after="80" w:before="40"/>
              <w:jc w:val="center"/>
            </w:pPr>
            <w:r>
              <w:rPr>
                <w:rFonts w:ascii="Times New Roman" w:cs="Times New Roman" w:eastAsia="Times New Roman" w:hAnsi="Times New Roman"/>
                <w:b w:val="false"/>
                <w:bCs w:val="false"/>
                <w:i/>
                <w:iCs/>
                <w:sz w:val="18"/>
                <w:szCs w:val="18"/>
              </w:rPr>
              <w:t xml:space="preserve">Figure 1. Research flowchart: Literature Review → Expert Validation → K-Means Clustering → AHP Weighting → WP Aggregation → TOPSIS Validation → Conceptual Model</w:t>
            </w:r>
          </w:p>
          <w:p>
            <w:pPr>
              <w:spacing w:after="60" w:before="100"/>
              <w:jc w:val="left"/>
            </w:pPr>
            <w:r>
              <w:rPr>
                <w:rFonts w:ascii="Times New Roman" w:cs="Times New Roman" w:eastAsia="Times New Roman" w:hAnsi="Times New Roman"/>
                <w:b/>
                <w:bCs/>
                <w:i w:val="false"/>
                <w:iCs w:val="false"/>
                <w:sz w:val="20"/>
                <w:szCs w:val="20"/>
              </w:rPr>
              <w:t xml:space="preserve">3. RESULTS AND DISCUSSION</w:t>
            </w:r>
          </w:p>
          <w:p>
            <w:pPr>
              <w:spacing w:after="40" w:before="80"/>
            </w:pPr>
            <w:r>
              <w:rPr>
                <w:rFonts w:ascii="Times New Roman" w:cs="Times New Roman" w:eastAsia="Times New Roman" w:hAnsi="Times New Roman"/>
                <w:b/>
                <w:bCs/>
                <w:i w:val="false"/>
                <w:iCs w:val="false"/>
                <w:sz w:val="20"/>
                <w:szCs w:val="20"/>
              </w:rPr>
              <w:t xml:space="preserve">3.1. Nurse Performance Data and Criteria</w:t>
            </w:r>
          </w:p>
          <w:p>
            <w:pPr>
              <w:spacing w:after="60" w:before="0" w:line="240"/>
              <w:jc w:val="both"/>
            </w:pPr>
            <w:r>
              <w:rPr>
                <w:rFonts w:ascii="Times New Roman" w:cs="Times New Roman" w:eastAsia="Times New Roman" w:hAnsi="Times New Roman"/>
                <w:b w:val="false"/>
                <w:bCs w:val="false"/>
                <w:i w:val="false"/>
                <w:iCs w:val="false"/>
                <w:sz w:val="20"/>
                <w:szCs w:val="20"/>
              </w:rPr>
              <w:t xml:space="preserve">Performance data for ten nurses were assessed across seven criteria using a scale of 1 to 10 by expert evaluators. Table 1 presents the raw performance data used as input for all computational stages.</w:t>
            </w:r>
          </w:p>
          <w:p>
            <w:pPr>
              <w:spacing w:after="40" w:before="60"/>
              <w:jc w:val="center"/>
            </w:pPr>
            <w:r>
              <w:rPr>
                <w:rFonts w:ascii="Times New Roman" w:cs="Times New Roman" w:eastAsia="Times New Roman" w:hAnsi="Times New Roman"/>
                <w:b/>
                <w:bCs/>
                <w:i w:val="false"/>
                <w:iCs w:val="false"/>
                <w:sz w:val="18"/>
                <w:szCs w:val="18"/>
              </w:rPr>
              <w:t xml:space="preserve">Table 1. Nurse Performance Data (Scale 1–10)</w:t>
            </w:r>
          </w:p>
          <w:tbl>
            <w:tblPr>
              <w:tblW w:type="dxa" w:w="4497"/>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360"/>
              <w:gridCol w:w="360"/>
              <w:gridCol w:w="360"/>
              <w:gridCol w:w="360"/>
              <w:gridCol w:w="360"/>
              <w:gridCol w:w="360"/>
              <w:gridCol w:w="360"/>
            </w:tblGrid>
            <w:tr>
              <w:tc>
                <w:tcPr>
                  <w:tcW w:type="dxa" w:w="5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No</w:t>
                  </w:r>
                </w:p>
              </w:tc>
              <w:tc>
                <w:tcPr>
                  <w:tcW w:type="dxa" w:w="8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Nurse</w:t>
                  </w:r>
                </w:p>
              </w:tc>
              <w:tc>
                <w:tcPr>
                  <w:tcW w:type="dxa" w:w="36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C1</w:t>
                  </w:r>
                </w:p>
              </w:tc>
              <w:tc>
                <w:tcPr>
                  <w:tcW w:type="dxa" w:w="36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C2</w:t>
                  </w:r>
                </w:p>
              </w:tc>
              <w:tc>
                <w:tcPr>
                  <w:tcW w:type="dxa" w:w="36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C3</w:t>
                  </w:r>
                </w:p>
              </w:tc>
              <w:tc>
                <w:tcPr>
                  <w:tcW w:type="dxa" w:w="36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C4</w:t>
                  </w:r>
                </w:p>
              </w:tc>
              <w:tc>
                <w:tcPr>
                  <w:tcW w:type="dxa" w:w="36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C5</w:t>
                  </w:r>
                </w:p>
              </w:tc>
              <w:tc>
                <w:tcPr>
                  <w:tcW w:type="dxa" w:w="36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C6</w:t>
                  </w:r>
                </w:p>
              </w:tc>
              <w:tc>
                <w:tcPr>
                  <w:tcW w:type="dxa" w:w="36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C7</w:t>
                  </w:r>
                </w:p>
              </w:tc>
            </w:tr>
            <w:tr>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Andi Setiawan</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r>
            <w:tr>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2</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Budi Santoso</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r>
            <w:tr>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3</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Citra Dewi</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r>
            <w:tr>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Dian Pratiwi</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r>
            <w:tr>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Eko Wahyudi</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r>
            <w:tr>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Fitri Handayani</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r>
            <w:tr>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Galih Nugroho</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r>
            <w:tr>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Hana Putri</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r>
            <w:tr>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Indra Kusuma</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r>
            <w:tr>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10</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Joko Purnomo</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36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40" w:before="80"/>
            </w:pPr>
            <w:r>
              <w:rPr>
                <w:rFonts w:ascii="Times New Roman" w:cs="Times New Roman" w:eastAsia="Times New Roman" w:hAnsi="Times New Roman"/>
                <w:b/>
                <w:bCs/>
                <w:i w:val="false"/>
                <w:iCs w:val="false"/>
                <w:sz w:val="20"/>
                <w:szCs w:val="20"/>
              </w:rPr>
              <w:t xml:space="preserve">3.2. K-Means Clustering Results</w:t>
            </w:r>
          </w:p>
          <w:p>
            <w:pPr>
              <w:spacing w:after="60" w:before="0" w:line="240"/>
              <w:jc w:val="both"/>
            </w:pPr>
            <w:r>
              <w:rPr>
                <w:rFonts w:ascii="Times New Roman" w:cs="Times New Roman" w:eastAsia="Times New Roman" w:hAnsi="Times New Roman"/>
                <w:b w:val="false"/>
                <w:bCs w:val="false"/>
                <w:i w:val="false"/>
                <w:iCs w:val="false"/>
                <w:sz w:val="20"/>
                <w:szCs w:val="20"/>
              </w:rPr>
              <w:t xml:space="preserve">K-Means clustering (k=3) was applied to the seven-dimensional performance data. Initial centroids were selected from representative nurses: Citra Dewi (K1-seed), Eko Wahyudi (K2-seed), and Fitri Handayani (K3-seed). The algorithm converged at iteration 3 with stable cluster assignments.</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final cluster assignments are: K1 (High Performance) – Andi Setiawan, Citra Dewi, Galih Nugroho, Indra Kusuma; K2 (Medium Performance) – Eko Wahyudi, Hana Putri; K3 (Low Performance) – Budi Santoso, Dian Pratiwi, Fitri Handayani, Joko Purnomo.</w:t>
            </w:r>
          </w:p>
          <w:p>
            <w:pPr>
              <w:spacing w:after="40" w:before="60"/>
              <w:jc w:val="center"/>
            </w:pPr>
            <w:r>
              <w:rPr>
                <w:rFonts w:ascii="Times New Roman" w:cs="Times New Roman" w:eastAsia="Times New Roman" w:hAnsi="Times New Roman"/>
                <w:b/>
                <w:bCs/>
                <w:i w:val="false"/>
                <w:iCs w:val="false"/>
                <w:sz w:val="18"/>
                <w:szCs w:val="18"/>
              </w:rPr>
              <w:t xml:space="preserve">Table 2. Final Cluster Assignment and Centroid Values</w:t>
            </w:r>
          </w:p>
          <w:tbl>
            <w:tblPr>
              <w:tblW w:type="dxa" w:w="4497"/>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500"/>
              <w:gridCol w:w="500"/>
              <w:gridCol w:w="500"/>
              <w:gridCol w:w="500"/>
              <w:gridCol w:w="500"/>
              <w:gridCol w:w="500"/>
              <w:gridCol w:w="500"/>
            </w:tblGrid>
            <w:tr>
              <w:tc>
                <w:tcPr>
                  <w:tcW w:type="dxa" w:w="6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Cluster</w:t>
                  </w:r>
                </w:p>
              </w:tc>
              <w:tc>
                <w:tcPr>
                  <w:tcW w:type="dxa" w:w="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Label</w:t>
                  </w:r>
                </w:p>
              </w:tc>
              <w:tc>
                <w:tcPr>
                  <w:tcW w:type="dxa" w:w="5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C1</w:t>
                  </w:r>
                </w:p>
              </w:tc>
              <w:tc>
                <w:tcPr>
                  <w:tcW w:type="dxa" w:w="5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C2</w:t>
                  </w:r>
                </w:p>
              </w:tc>
              <w:tc>
                <w:tcPr>
                  <w:tcW w:type="dxa" w:w="5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C3</w:t>
                  </w:r>
                </w:p>
              </w:tc>
              <w:tc>
                <w:tcPr>
                  <w:tcW w:type="dxa" w:w="5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C4</w:t>
                  </w:r>
                </w:p>
              </w:tc>
              <w:tc>
                <w:tcPr>
                  <w:tcW w:type="dxa" w:w="5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C5</w:t>
                  </w:r>
                </w:p>
              </w:tc>
              <w:tc>
                <w:tcPr>
                  <w:tcW w:type="dxa" w:w="5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C6</w:t>
                  </w:r>
                </w:p>
              </w:tc>
              <w:tc>
                <w:tcPr>
                  <w:tcW w:type="dxa" w:w="5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C7</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K1</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High</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8.50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8.25</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8.50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8.50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8.75</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8.25</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8.25</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K2</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Medium</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6.50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7.00</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K3</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Low</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5.00</w:t>
                  </w:r>
                </w:p>
              </w:tc>
              <w:tc>
                <w:tcPr>
                  <w:tcW w:type="dxa" w:w="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5.00</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Silhouette Score of 0.348 indicates a moderate cluster structure. This score, while below the ideal threshold of 0.5, reflects the overlapping nature of real-world nurse performance data and is consistent with findings in similar healthcare personnel evaluation studies [20]. The score confirms that the three-cluster solution provides meaningful segmentation of performance patterns.</w:t>
            </w:r>
          </w:p>
          <w:p>
            <w:pPr>
              <w:spacing w:after="40" w:before="80"/>
            </w:pPr>
            <w:r>
              <w:rPr>
                <w:rFonts w:ascii="Times New Roman" w:cs="Times New Roman" w:eastAsia="Times New Roman" w:hAnsi="Times New Roman"/>
                <w:b/>
                <w:bCs/>
                <w:i w:val="false"/>
                <w:iCs w:val="false"/>
                <w:sz w:val="20"/>
                <w:szCs w:val="20"/>
              </w:rPr>
              <w:t xml:space="preserve">3.3. AHP Criteria Weighting</w:t>
            </w:r>
          </w:p>
          <w:p>
            <w:pPr>
              <w:spacing w:after="60" w:before="0" w:line="240"/>
              <w:jc w:val="both"/>
            </w:pPr>
            <w:r>
              <w:rPr>
                <w:rFonts w:ascii="Times New Roman" w:cs="Times New Roman" w:eastAsia="Times New Roman" w:hAnsi="Times New Roman"/>
                <w:b w:val="false"/>
                <w:bCs w:val="false"/>
                <w:i w:val="false"/>
                <w:iCs w:val="false"/>
                <w:sz w:val="20"/>
                <w:szCs w:val="20"/>
              </w:rPr>
              <w:t xml:space="preserve">Expert pairwise comparisons established the priority weights for the seven criteria. Clinical Competence received the highest weight (W₁ = 0.418), followed by Professionalism (W₂ = 0.229) and Collaboration (W₃ = C5 = 0.113 each). Table 3 presents the complete weight distribution.</w:t>
            </w:r>
          </w:p>
          <w:p>
            <w:pPr>
              <w:spacing w:after="40" w:before="60"/>
              <w:jc w:val="center"/>
            </w:pPr>
            <w:r>
              <w:rPr>
                <w:rFonts w:ascii="Times New Roman" w:cs="Times New Roman" w:eastAsia="Times New Roman" w:hAnsi="Times New Roman"/>
                <w:b/>
                <w:bCs/>
                <w:i w:val="false"/>
                <w:iCs w:val="false"/>
                <w:sz w:val="18"/>
                <w:szCs w:val="18"/>
              </w:rPr>
              <w:t xml:space="preserve">Table 3. AHP Criteria Weights and Consistency Test</w:t>
            </w:r>
          </w:p>
          <w:tbl>
            <w:tblPr>
              <w:tblW w:type="dxa" w:w="4497"/>
              <w:tblBorders>
                <w:top w:val="single" w:color="auto" w:sz="4"/>
                <w:left w:val="single" w:color="auto" w:sz="4"/>
                <w:bottom w:val="single" w:color="auto" w:sz="4"/>
                <w:right w:val="single" w:color="auto" w:sz="4"/>
                <w:insideH w:val="single" w:color="auto" w:sz="4"/>
                <w:insideV w:val="single" w:color="auto" w:sz="4"/>
              </w:tblBorders>
            </w:tblPr>
            <w:tblGrid>
              <w:gridCol w:w="220"/>
              <w:gridCol w:w="2000"/>
              <w:gridCol w:w="800"/>
              <w:gridCol w:w="600"/>
              <w:gridCol w:w="800"/>
            </w:tblGrid>
            <w:tr>
              <w:tc>
                <w:tcPr>
                  <w:tcW w:type="dxa" w:w="22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Code</w:t>
                  </w:r>
                </w:p>
              </w:tc>
              <w:tc>
                <w:tcPr>
                  <w:tcW w:type="dxa" w:w="20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Criterion</w:t>
                  </w:r>
                </w:p>
              </w:tc>
              <w:tc>
                <w:tcPr>
                  <w:tcW w:type="dxa" w:w="8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Weight (W)</w:t>
                  </w:r>
                </w:p>
              </w:tc>
              <w:tc>
                <w:tcPr>
                  <w:tcW w:type="dxa" w:w="6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Rank</w:t>
                  </w:r>
                </w:p>
              </w:tc>
              <w:tc>
                <w:tcPr>
                  <w:tcW w:type="dxa" w:w="8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λᵢ</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C1</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Clinical Competence</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0.4181</w:t>
                  </w:r>
                </w:p>
              </w:tc>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7.594</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C2</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Professionalism</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0.2292</w:t>
                  </w:r>
                </w:p>
              </w:tc>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2</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7.559</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C3</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Team Collaboration</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0.1126</w:t>
                  </w:r>
                </w:p>
              </w:tc>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3</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7.268</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C4</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Outcome Orientation</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0.0509</w:t>
                  </w:r>
                </w:p>
              </w:tc>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7.064</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C5</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Patient Safety</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0.1126</w:t>
                  </w:r>
                </w:p>
              </w:tc>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3</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7.268</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C6</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Time Management</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0.0509</w:t>
                  </w:r>
                </w:p>
              </w:tc>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7.064</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C7</w:t>
                  </w:r>
                </w:p>
              </w:tc>
              <w:tc>
                <w:tcPr>
                  <w:tcW w:type="dxa" w:w="2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Communication</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0.0256</w:t>
                  </w:r>
                </w:p>
              </w:tc>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7.169</w:t>
                  </w:r>
                </w:p>
              </w:tc>
            </w:tr>
          </w:tbl>
          <w:p>
            <w:pPr>
              <w:spacing w:after="80" w:before="40"/>
              <w:jc w:val="center"/>
            </w:pPr>
            <w:r>
              <w:rPr>
                <w:rFonts w:ascii="Times New Roman" w:cs="Times New Roman" w:eastAsia="Times New Roman" w:hAnsi="Times New Roman"/>
                <w:b w:val="false"/>
                <w:bCs w:val="false"/>
                <w:i/>
                <w:iCs/>
                <w:sz w:val="16"/>
                <w:szCs w:val="16"/>
              </w:rPr>
              <w:t xml:space="preserve">λmax = 7.284; CI = 0.047; RI = 1.32; CR = 0.036 &lt; 0.1 (Consistent)</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Consistency Ratio (CR = 0.036) is well below the 0.1 threshold established by Saaty [16], confirming the expert judgments are internally consistent. Clinical Competence dominates the weight distribution at 41.81%, reflecting the paramount importance of direct patient care capability in nurse performance assessment.</w:t>
            </w:r>
          </w:p>
        </w:tc>
        <w:tc>
          <w:tcPr>
            <w:tcW w:type="dxa" w:w="360"/>
            <w:tcBorders>
              <w:top w:val="none" w:color="FFFFFF" w:sz="0"/>
              <w:left w:val="none" w:color="FFFFFF" w:sz="0"/>
              <w:bottom w:val="none" w:color="FFFFFF" w:sz="0"/>
              <w:right w:val="none" w:color="FFFFFF" w:sz="0"/>
            </w:tcBorders>
          </w:tcPr>
          <w:p>
            <w:pPr>
              <w:spacing w:after="6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497"/>
            <w:tcBorders>
              <w:top w:val="none" w:color="FFFFFF" w:sz="0"/>
              <w:left w:val="none" w:color="FFFFFF" w:sz="0"/>
              <w:bottom w:val="none" w:color="FFFFFF" w:sz="0"/>
              <w:right w:val="none" w:color="FFFFFF" w:sz="0"/>
            </w:tcBorders>
          </w:tcPr>
          <w:p>
            <w:pPr>
              <w:spacing w:after="40" w:before="80"/>
            </w:pPr>
            <w:r>
              <w:rPr>
                <w:rFonts w:ascii="Times New Roman" w:cs="Times New Roman" w:eastAsia="Times New Roman" w:hAnsi="Times New Roman"/>
                <w:b/>
                <w:bCs/>
                <w:i w:val="false"/>
                <w:iCs w:val="false"/>
                <w:sz w:val="20"/>
                <w:szCs w:val="20"/>
              </w:rPr>
              <w:t xml:space="preserve">3.4. Weighted Product Scoring</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Weighted Product method computed individual performance scores using the formula Sᵢ = ∏(Xᵢⱼ^Wⱼ), where Xᵢⱼ represents the performance value of nurse i on criterion j and Wⱼ is the AHP-derived weight. Table 4 presents the WP scores and rankings.</w:t>
            </w:r>
          </w:p>
          <w:p>
            <w:pPr>
              <w:spacing w:after="40" w:before="60"/>
              <w:jc w:val="center"/>
            </w:pPr>
            <w:r>
              <w:rPr>
                <w:rFonts w:ascii="Times New Roman" w:cs="Times New Roman" w:eastAsia="Times New Roman" w:hAnsi="Times New Roman"/>
                <w:b/>
                <w:bCs/>
                <w:i w:val="false"/>
                <w:iCs w:val="false"/>
                <w:sz w:val="18"/>
                <w:szCs w:val="18"/>
              </w:rPr>
              <w:t xml:space="preserve">Table 4. Weighted Product Scores and Rankings</w:t>
            </w:r>
          </w:p>
          <w:tbl>
            <w:tblPr>
              <w:tblW w:type="dxa" w:w="4497"/>
              <w:tblBorders>
                <w:top w:val="single" w:color="auto" w:sz="4"/>
                <w:left w:val="single" w:color="auto" w:sz="4"/>
                <w:bottom w:val="single" w:color="auto" w:sz="4"/>
                <w:right w:val="single" w:color="auto" w:sz="4"/>
                <w:insideH w:val="single" w:color="auto" w:sz="4"/>
                <w:insideV w:val="single" w:color="auto" w:sz="4"/>
              </w:tblBorders>
            </w:tblPr>
            <w:tblGrid>
              <w:gridCol w:w="220"/>
              <w:gridCol w:w="1600"/>
              <w:gridCol w:w="1000"/>
              <w:gridCol w:w="700"/>
              <w:gridCol w:w="700"/>
              <w:gridCol w:w="700"/>
            </w:tblGrid>
            <w:tr>
              <w:tc>
                <w:tcPr>
                  <w:tcW w:type="dxa" w:w="22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No</w:t>
                  </w:r>
                </w:p>
              </w:tc>
              <w:tc>
                <w:tcPr>
                  <w:tcW w:type="dxa" w:w="16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Nurse</w:t>
                  </w:r>
                </w:p>
              </w:tc>
              <w:tc>
                <w:tcPr>
                  <w:tcW w:type="dxa" w:w="10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WP Score (Sᵢ)</w:t>
                  </w:r>
                </w:p>
              </w:tc>
              <w:tc>
                <w:tcPr>
                  <w:tcW w:type="dxa" w:w="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WP Rank</w:t>
                  </w:r>
                </w:p>
              </w:tc>
              <w:tc>
                <w:tcPr>
                  <w:tcW w:type="dxa" w:w="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Cluster</w:t>
                  </w:r>
                </w:p>
              </w:tc>
              <w:tc>
                <w:tcPr>
                  <w:tcW w:type="dxa" w:w="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Label</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Andi Setiawan</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7.9136</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K1</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High</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2</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Budi Santoso</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5.3110</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K3</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Low</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3</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Citra Dewi</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8.8283</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K1</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High</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Dian Pratiwi</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5.6487</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K3</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Low</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Eko Wahyudi</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7.3163</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K2</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Medium</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Fitri Handayani</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4.3066</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10</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K3</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Low</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Galih Nugroho</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8.6187</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2</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K1</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High</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Hana Putri</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6.2366</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K2</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Medium</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Indra Kusuma</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8.3787</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3</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K1</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High</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10</w:t>
                  </w:r>
                </w:p>
              </w:tc>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Joko Purnomo</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4.6441</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K3</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Low</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WP scores range from 4.307 (Fitri Handayani, rank 10) to 8.828 (Citra Dewi, rank 1). All four nurses in cluster K1 occupy the top four rankings (positions 1–4), validating the concordance between clustering and MCDM scoring. Cluster K2 nurses occupy positions 5 and 6, and K3 nurses fill positions 7–10, confirming the structural alignment of the two analytical approaches.</w:t>
            </w:r>
          </w:p>
          <w:p>
            <w:pPr>
              <w:spacing w:after="40" w:before="80"/>
            </w:pPr>
            <w:r>
              <w:rPr>
                <w:rFonts w:ascii="Times New Roman" w:cs="Times New Roman" w:eastAsia="Times New Roman" w:hAnsi="Times New Roman"/>
                <w:b/>
                <w:bCs/>
                <w:i w:val="false"/>
                <w:iCs w:val="false"/>
                <w:sz w:val="20"/>
                <w:szCs w:val="20"/>
              </w:rPr>
              <w:t xml:space="preserve">3.5. TOPSIS Validation</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TOPSIS validation computed the closeness coefficient (Ci) for each nurse, measuring proximity to the positive ideal solution (A+) and distance from the negative ideal solution (A−). Table 5 presents the TOPSIS results alongside WP ranking for comparison.</w:t>
            </w:r>
          </w:p>
          <w:p>
            <w:pPr>
              <w:spacing w:after="40" w:before="60"/>
              <w:jc w:val="center"/>
            </w:pPr>
            <w:r>
              <w:rPr>
                <w:rFonts w:ascii="Times New Roman" w:cs="Times New Roman" w:eastAsia="Times New Roman" w:hAnsi="Times New Roman"/>
                <w:b/>
                <w:bCs/>
                <w:i w:val="false"/>
                <w:iCs w:val="false"/>
                <w:sz w:val="18"/>
                <w:szCs w:val="18"/>
              </w:rPr>
              <w:t xml:space="preserve">Table 5. TOPSIS Results and WP–TOPSIS Consistency</w:t>
            </w:r>
          </w:p>
          <w:tbl>
            <w:tblPr>
              <w:tblW w:type="dxa" w:w="4497"/>
              <w:tblBorders>
                <w:top w:val="single" w:color="auto" w:sz="4"/>
                <w:left w:val="single" w:color="auto" w:sz="4"/>
                <w:bottom w:val="single" w:color="auto" w:sz="4"/>
                <w:right w:val="single" w:color="auto" w:sz="4"/>
                <w:insideH w:val="single" w:color="auto" w:sz="4"/>
                <w:insideV w:val="single" w:color="auto" w:sz="4"/>
              </w:tblBorders>
            </w:tblPr>
            <w:tblGrid>
              <w:gridCol w:w="220"/>
              <w:gridCol w:w="1400"/>
              <w:gridCol w:w="900"/>
              <w:gridCol w:w="700"/>
              <w:gridCol w:w="700"/>
              <w:gridCol w:w="800"/>
            </w:tblGrid>
            <w:tr>
              <w:tc>
                <w:tcPr>
                  <w:tcW w:type="dxa" w:w="22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No</w:t>
                  </w:r>
                </w:p>
              </w:tc>
              <w:tc>
                <w:tcPr>
                  <w:tcW w:type="dxa" w:w="14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Nurse</w:t>
                  </w:r>
                </w:p>
              </w:tc>
              <w:tc>
                <w:tcPr>
                  <w:tcW w:type="dxa" w:w="9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TOPSIS Ci</w:t>
                  </w:r>
                </w:p>
              </w:tc>
              <w:tc>
                <w:tcPr>
                  <w:tcW w:type="dxa" w:w="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TOPSIS Rank</w:t>
                  </w:r>
                </w:p>
              </w:tc>
              <w:tc>
                <w:tcPr>
                  <w:tcW w:type="dxa" w:w="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WP Rank</w:t>
                  </w:r>
                </w:p>
              </w:tc>
              <w:tc>
                <w:tcPr>
                  <w:tcW w:type="dxa" w:w="8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Consistent</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Andi Setiawan</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0.7590</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2</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Budi Santoso</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0.2539</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3</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Citra Dewi</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0.9536</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Dian Pratiwi</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0.3595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Eko Wahyudi</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0.6405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Fitri Handayani</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0.0898</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10</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10</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Galih Nugroho</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0.9045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2</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2</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Hana Putri</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0.4205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Indra Kusuma</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0.8328</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3</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3</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w:t>
                  </w:r>
                </w:p>
              </w:tc>
            </w:tr>
            <w:tr>
              <w:tc>
                <w:tcPr>
                  <w:tcW w:type="dxa" w:w="2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10</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Joko Purnomo</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0.1719</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9</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60" w:before="0" w:line="240"/>
              <w:jc w:val="both"/>
            </w:pPr>
            <w:r>
              <w:rPr>
                <w:rFonts w:ascii="Times New Roman" w:cs="Times New Roman" w:eastAsia="Times New Roman" w:hAnsi="Times New Roman"/>
                <w:b w:val="false"/>
                <w:bCs w:val="false"/>
                <w:i w:val="false"/>
                <w:iCs w:val="false"/>
                <w:sz w:val="20"/>
                <w:szCs w:val="20"/>
              </w:rPr>
              <w:t xml:space="preserve">WP–TOPSIS ranking consistency reached 100% (10/10 nurses), substantially exceeding the 75% threshold. This complete concordance demonstrates the high reliability of the hybrid MCDM approach and confirms that WP and TOPSIS capture the same underlying performance structure despite using different mathematical foundations [21]. The positive ideal solution vector (A+) was derived from the highest normalized weighted scores: v_C1 = 0.1723, v_C2 = 0.0945, v_C3 = 0.0458, v_C4 = 0.0206, v_C5 = 0.0450, v_C6 = 0.0210, v_C7 = 0.0106.</w:t>
            </w:r>
          </w:p>
          <w:p>
            <w:pPr>
              <w:spacing w:after="40" w:before="80"/>
            </w:pPr>
            <w:r>
              <w:rPr>
                <w:rFonts w:ascii="Times New Roman" w:cs="Times New Roman" w:eastAsia="Times New Roman" w:hAnsi="Times New Roman"/>
                <w:b/>
                <w:bCs/>
                <w:i w:val="false"/>
                <w:iCs w:val="false"/>
                <w:sz w:val="20"/>
                <w:szCs w:val="20"/>
              </w:rPr>
              <w:t xml:space="preserve">3.6. Conceptual Model Framework</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proposed conceptual model integrates all analytical stages into a unified evaluation framework. The model architecture consists of five components: Input Layer, Clustering Process, MCDM Weighting and Aggregation, Validation, and Decision Output.</w:t>
            </w:r>
          </w:p>
          <w:p>
            <w:pPr>
              <w:spacing w:after="40" w:before="60"/>
              <w:jc w:val="center"/>
            </w:pPr>
            <w:r>
              <w:rPr>
                <w:rFonts w:ascii="Times New Roman" w:cs="Times New Roman" w:eastAsia="Times New Roman" w:hAnsi="Times New Roman"/>
                <w:b/>
                <w:bCs/>
                <w:i w:val="false"/>
                <w:iCs w:val="false"/>
                <w:sz w:val="18"/>
                <w:szCs w:val="18"/>
              </w:rPr>
              <w:t xml:space="preserve">Table 6. Conceptual Model Framework Components</w:t>
            </w:r>
          </w:p>
          <w:tbl>
            <w:tblPr>
              <w:tblW w:type="dxa" w:w="4497"/>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100"/>
            </w:tblGrid>
            <w:tr>
              <w:tc>
                <w:tcPr>
                  <w:tcW w:type="dxa" w:w="9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Component</w:t>
                  </w:r>
                </w:p>
              </w:tc>
              <w:tc>
                <w:tcPr>
                  <w:tcW w:type="dxa" w:w="15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Method</w:t>
                  </w:r>
                </w:p>
              </w:tc>
              <w:tc>
                <w:tcPr>
                  <w:tcW w:type="dxa" w:w="21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Output</w:t>
                  </w:r>
                </w:p>
              </w:tc>
            </w:tr>
            <w:t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Input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Raw Performance Data</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7 Criteria, 10 Nurses (Scale 1–10)</w:t>
                  </w:r>
                </w:p>
              </w:tc>
            </w:tr>
            <w:t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Process 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K-Means Clustering</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K1/K2/K3 Performance Segments</w:t>
                  </w:r>
                </w:p>
              </w:tc>
            </w:tr>
            <w:t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Process 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AHP Weighting</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Criteria Weights (CR &lt; 0.1)</w:t>
                  </w:r>
                </w:p>
              </w:tc>
            </w:tr>
            <w:t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Process 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Weighted Product</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Preference Scores Sᵢ = ∏(Xᵢⱼ^Wⱼ)</w:t>
                  </w:r>
                </w:p>
              </w:tc>
            </w:tr>
            <w:t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Process 4</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TOPSIS Validation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Closeness Coefficient Ci, ≥75% Consistency</w:t>
                  </w:r>
                </w:p>
              </w:tc>
            </w:tr>
            <w:t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Output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Final Ranking</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Performance Ranking + Cluster Label</w:t>
                  </w:r>
                </w:p>
              </w:tc>
            </w:tr>
            <w:t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Decision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Managerial Action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4"/>
                      <w:szCs w:val="14"/>
                    </w:rPr>
                    <w:t xml:space="preserve">Promotion / Sustain / Intensive Coaching</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40" w:before="60"/>
              <w:jc w:val="center"/>
            </w:pPr>
            <w:r>
              <w:rPr>
                <w:rFonts w:ascii="Times New Roman" w:cs="Times New Roman" w:eastAsia="Times New Roman" w:hAnsi="Times New Roman"/>
                <w:b/>
                <w:bCs/>
                <w:i w:val="false"/>
                <w:iCs w:val="false"/>
                <w:sz w:val="18"/>
                <w:szCs w:val="18"/>
              </w:rPr>
              <w:t xml:space="preserve">Table 7. Cluster Summary with Managerial Recommendations</w:t>
            </w:r>
          </w:p>
          <w:tbl>
            <w:tblPr>
              <w:tblW w:type="dxa" w:w="4497"/>
              <w:tblBorders>
                <w:top w:val="single" w:color="auto" w:sz="4"/>
                <w:left w:val="single" w:color="auto" w:sz="4"/>
                <w:bottom w:val="single" w:color="auto" w:sz="4"/>
                <w:right w:val="single" w:color="auto" w:sz="4"/>
                <w:insideH w:val="single" w:color="auto" w:sz="4"/>
                <w:insideV w:val="single" w:color="auto" w:sz="4"/>
              </w:tblBorders>
            </w:tblPr>
            <w:tblGrid>
              <w:gridCol w:w="550"/>
              <w:gridCol w:w="700"/>
              <w:gridCol w:w="700"/>
              <w:gridCol w:w="700"/>
              <w:gridCol w:w="1850"/>
            </w:tblGrid>
            <w:tr>
              <w:tc>
                <w:tcPr>
                  <w:tcW w:type="dxa" w:w="55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Cluster</w:t>
                  </w:r>
                </w:p>
              </w:tc>
              <w:tc>
                <w:tcPr>
                  <w:tcW w:type="dxa" w:w="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n</w:t>
                  </w:r>
                </w:p>
              </w:tc>
              <w:tc>
                <w:tcPr>
                  <w:tcW w:type="dxa" w:w="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Avg WP</w:t>
                  </w:r>
                </w:p>
              </w:tc>
              <w:tc>
                <w:tcPr>
                  <w:tcW w:type="dxa" w:w="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Avg Ci</w:t>
                  </w:r>
                </w:p>
              </w:tc>
              <w:tc>
                <w:tcPr>
                  <w:tcW w:type="dxa" w:w="185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Recommendation</w:t>
                  </w:r>
                </w:p>
              </w:tc>
            </w:tr>
            <w:t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K1 (High)</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8.435</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0.862</w:t>
                  </w:r>
                </w:p>
              </w:tc>
              <w:tc>
                <w:tcPr>
                  <w:tcW w:type="dxa" w:w="18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Priority promotion; mentor role; career development</w:t>
                  </w:r>
                </w:p>
              </w:tc>
            </w:tr>
            <w:t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K2 (Medium)</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2</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6.776</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0.531</w:t>
                  </w:r>
                </w:p>
              </w:tc>
              <w:tc>
                <w:tcPr>
                  <w:tcW w:type="dxa" w:w="18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Targeted training; periodic monitoring; performance-based rewards</w:t>
                  </w:r>
                </w:p>
              </w:tc>
            </w:tr>
            <w:tr>
              <w:tc>
                <w:tcPr>
                  <w:tcW w:type="dxa" w:w="5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K3 (Low)</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4.978</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0.219</w:t>
                  </w:r>
                </w:p>
              </w:tc>
              <w:tc>
                <w:tcPr>
                  <w:tcW w:type="dxa" w:w="18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Intensive coaching; mentoring; workload review</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cluster-based managerial recommendations provide actionable differentiated strategies: K1 nurses (average WP = 8.435, Ci = 0.862) are recommended for promotion and mentorship roles; K2 nurses (average WP = 6.776, Ci = 0.531) require targeted training; K3 nurses (average WP = 4.978, Ci = 0.219) need intensive coaching programs. This segmented approach enables more efficient allocation of hospital development resources compared to uniform evaluation methods [22].</w:t>
            </w:r>
          </w:p>
          <w:p>
            <w:pPr>
              <w:spacing w:after="40" w:before="80"/>
            </w:pPr>
            <w:r>
              <w:rPr>
                <w:rFonts w:ascii="Times New Roman" w:cs="Times New Roman" w:eastAsia="Times New Roman" w:hAnsi="Times New Roman"/>
                <w:b/>
                <w:bCs/>
                <w:i w:val="false"/>
                <w:iCs w:val="false"/>
                <w:sz w:val="20"/>
                <w:szCs w:val="20"/>
              </w:rPr>
              <w:t xml:space="preserve">3.7. Comparative Analysis and Novelty</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Table 8 positions the proposed model against related Scopus-indexed studies.</w:t>
            </w:r>
          </w:p>
          <w:p>
            <w:pPr>
              <w:spacing w:after="40" w:before="60"/>
              <w:jc w:val="center"/>
            </w:pPr>
            <w:r>
              <w:rPr>
                <w:rFonts w:ascii="Times New Roman" w:cs="Times New Roman" w:eastAsia="Times New Roman" w:hAnsi="Times New Roman"/>
                <w:b/>
                <w:bCs/>
                <w:i w:val="false"/>
                <w:iCs w:val="false"/>
                <w:sz w:val="18"/>
                <w:szCs w:val="18"/>
              </w:rPr>
              <w:t xml:space="preserve">Table 8. Comparison with Related Studies</w:t>
            </w:r>
          </w:p>
          <w:tbl>
            <w:tblPr>
              <w:tblW w:type="dxa" w:w="4497"/>
              <w:tblBorders>
                <w:top w:val="single" w:color="auto" w:sz="4"/>
                <w:left w:val="single" w:color="auto" w:sz="4"/>
                <w:bottom w:val="single" w:color="auto" w:sz="4"/>
                <w:right w:val="single" w:color="auto" w:sz="4"/>
                <w:insideH w:val="single" w:color="auto" w:sz="4"/>
                <w:insideV w:val="single" w:color="auto" w:sz="4"/>
              </w:tblBorders>
            </w:tblPr>
            <w:tblGrid>
              <w:gridCol w:w="300"/>
              <w:gridCol w:w="1000"/>
              <w:gridCol w:w="1100"/>
              <w:gridCol w:w="1100"/>
              <w:gridCol w:w="1000"/>
            </w:tblGrid>
            <w:tr>
              <w:tc>
                <w:tcPr>
                  <w:tcW w:type="dxa" w:w="3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Ref</w:t>
                  </w:r>
                </w:p>
              </w:tc>
              <w:tc>
                <w:tcPr>
                  <w:tcW w:type="dxa" w:w="10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Method</w:t>
                  </w:r>
                </w:p>
              </w:tc>
              <w:tc>
                <w:tcPr>
                  <w:tcW w:type="dxa" w:w="11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Clustering</w:t>
                  </w:r>
                </w:p>
              </w:tc>
              <w:tc>
                <w:tcPr>
                  <w:tcW w:type="dxa" w:w="11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MCDM Combo</w:t>
                  </w:r>
                </w:p>
              </w:tc>
              <w:tc>
                <w:tcPr>
                  <w:tcW w:type="dxa" w:w="10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sz w:val="14"/>
                      <w:szCs w:val="14"/>
                    </w:rPr>
                    <w:t xml:space="preserve">Focus</w:t>
                  </w:r>
                </w:p>
              </w:tc>
            </w:tr>
            <w:tr>
              <w:tc>
                <w:tcPr>
                  <w:tcW w:type="dxa" w:w="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[5]</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BSC+AHP</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No</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AHP only</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Nurse Perf.</w:t>
                  </w:r>
                </w:p>
              </w:tc>
            </w:tr>
            <w:tr>
              <w:tc>
                <w:tcPr>
                  <w:tcW w:type="dxa" w:w="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[6]</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DEMATEL+IPA</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No</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DEMATEL-IPA</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Job Satisfaction</w:t>
                  </w:r>
                </w:p>
              </w:tc>
            </w:tr>
            <w:tr>
              <w:tc>
                <w:tcPr>
                  <w:tcW w:type="dxa" w:w="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[7]</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Delphi</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No</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Index only</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Index System</w:t>
                  </w:r>
                </w:p>
              </w:tc>
            </w:tr>
            <w:tr>
              <w:tc>
                <w:tcPr>
                  <w:tcW w:type="dxa" w:w="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[8]</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Fuzzy MCDM</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No</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Fuzzy-MCDM</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Hospital Sustain.</w:t>
                  </w:r>
                </w:p>
              </w:tc>
            </w:tr>
            <w:tr>
              <w:tc>
                <w:tcPr>
                  <w:tcW w:type="dxa" w:w="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Prop.</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AHP+WP+TOPSIS</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K-Means</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AHP-WP-TOPSIS</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sz w:val="14"/>
                      <w:szCs w:val="14"/>
                    </w:rPr>
                    <w:t xml:space="preserve">Nurse Perf.</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proposed model's primary novelty lies in: (a) integrating K-Means clustering for data-driven performance segmentation prior to MCDM evaluation; (b) employing three complementary MCDM methods (AHP for weighting, WP for aggregation, TOPSIS for validation); and (c) achieving 100% cross-method ranking consistency. No existing Scopus Q1/Q3 study combines these three components in the context of individual nurse performance evaluation [23].</w:t>
            </w:r>
          </w:p>
          <w:p>
            <w:pPr>
              <w:spacing w:after="60" w:before="100"/>
              <w:jc w:val="left"/>
            </w:pPr>
            <w:r>
              <w:rPr>
                <w:rFonts w:ascii="Times New Roman" w:cs="Times New Roman" w:eastAsia="Times New Roman" w:hAnsi="Times New Roman"/>
                <w:b/>
                <w:bCs/>
                <w:i w:val="false"/>
                <w:iCs w:val="false"/>
                <w:sz w:val="20"/>
                <w:szCs w:val="20"/>
              </w:rPr>
              <w:t xml:space="preserve">4. CONCLUSION</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This study successfully developed a conceptual model of nurse performance evaluation integrating K-Means clustering and hybrid MCDM (AHP–WP–TOPSIS). The model was validated on ten nurses across seven performance criteria. K-Means clustering converged at iteration 3 producing three distinct performance segments. AHP criteria weighting yielded a Consistency Ratio of 0.036, confirming expert judgment reliability. WP and TOPSIS rankings achieved 100% consistency, substantially exceeding the 75% threshold.</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model provides three key contributions: (1) objective, multidimensional nurse performance ranking; (2) exploratory performance pattern identification through clustering; and (3) cross-validated, transparent ranking through hybrid MCDM. Managerial recommendations are differentiated by cluster: K1 nurses are prioritized for promotion and mentoring roles, K2 nurses receive targeted training, and K3 nurses undergo intensive coaching.</w:t>
            </w:r>
          </w:p>
          <w:p>
            <w:pPr>
              <w:spacing w:after="60" w:before="0" w:line="240"/>
              <w:jc w:val="both"/>
            </w:pPr>
            <w:r>
              <w:rPr>
                <w:rFonts w:ascii="Times New Roman" w:cs="Times New Roman" w:eastAsia="Times New Roman" w:hAnsi="Times New Roman"/>
                <w:b w:val="false"/>
                <w:bCs w:val="false"/>
                <w:i w:val="false"/>
                <w:iCs w:val="false"/>
                <w:sz w:val="20"/>
                <w:szCs w:val="20"/>
              </w:rPr>
              <w:t xml:space="preserve">Future research should expand the dataset to larger hospital populations, incorporate fuzzy linguistic scales for uncertainty handling, and develop a web-based decision support system implementing this conceptual framework. Extension to other healthcare personnel categories beyond nursing is also recommended.</w:t>
            </w:r>
          </w:p>
          <w:p>
            <w:pPr>
              <w:spacing w:after="60" w:before="100"/>
            </w:pPr>
            <w:r>
              <w:rPr>
                <w:rFonts w:ascii="Times New Roman" w:cs="Times New Roman" w:eastAsia="Times New Roman" w:hAnsi="Times New Roman"/>
                <w:b/>
                <w:bCs/>
                <w:i w:val="false"/>
                <w:iCs w:val="false"/>
                <w:sz w:val="20"/>
                <w:szCs w:val="20"/>
              </w:rPr>
              <w:t xml:space="preserve">ACKNOWLEDGMENTS</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authors thank the nursing academics and hospital management practitioners who contributed expert judgments for criteria validation and AHP pairwise comparison matrices.</w:t>
            </w:r>
          </w:p>
          <w:p>
            <w:pPr>
              <w:spacing w:after="60" w:before="100"/>
            </w:pPr>
            <w:r>
              <w:rPr>
                <w:rFonts w:ascii="Times New Roman" w:cs="Times New Roman" w:eastAsia="Times New Roman" w:hAnsi="Times New Roman"/>
                <w:b/>
                <w:bCs/>
                <w:i w:val="false"/>
                <w:iCs w:val="false"/>
                <w:sz w:val="20"/>
                <w:szCs w:val="20"/>
              </w:rPr>
              <w:t xml:space="preserve">FUNDING INFORMATION</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This research was supported by the Internal Research Grant of Universitas Ma'arif Nahdlatul Ulama Kebumen, Indonesia, under the Fundamental Research Scheme 2026.</w:t>
            </w:r>
          </w:p>
          <w:p>
            <w:pPr>
              <w:spacing w:after="60" w:before="100"/>
            </w:pPr>
            <w:r>
              <w:rPr>
                <w:rFonts w:ascii="Times New Roman" w:cs="Times New Roman" w:eastAsia="Times New Roman" w:hAnsi="Times New Roman"/>
                <w:b/>
                <w:bCs/>
                <w:i w:val="false"/>
                <w:iCs w:val="false"/>
                <w:sz w:val="20"/>
                <w:szCs w:val="20"/>
              </w:rPr>
              <w:t xml:space="preserve">AUTHOR CONTRIBUTIONS STATEMENT</w:t>
            </w:r>
          </w:p>
          <w:tbl>
            <w:tblPr>
              <w:tblW w:type="dxa" w:w="4497"/>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300"/>
              <w:gridCol w:w="300"/>
              <w:gridCol w:w="300"/>
              <w:gridCol w:w="300"/>
              <w:gridCol w:w="300"/>
              <w:gridCol w:w="300"/>
              <w:gridCol w:w="300"/>
              <w:gridCol w:w="300"/>
              <w:gridCol w:w="300"/>
              <w:gridCol w:w="300"/>
              <w:gridCol w:w="300"/>
              <w:gridCol w:w="300"/>
              <w:gridCol w:w="300"/>
            </w:tblGrid>
            <w:tr>
              <w:tc>
                <w:tcPr>
                  <w:tcW w:type="dxa" w:w="15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Author</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C</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M</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So</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Va</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Fo</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I</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R</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D</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O</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E</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Vi</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Su</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P</w:t>
                  </w:r>
                </w:p>
              </w:tc>
              <w:tc>
                <w:tcPr>
                  <w:tcW w:type="dxa" w:w="300"/>
                  <w:tcBorders>
                    <w:top w:val="single" w:color="000000" w:sz="4"/>
                    <w:left w:val="single" w:color="000000" w:sz="4"/>
                    <w:bottom w:val="single" w:color="000000" w:sz="4"/>
                    <w:right w:val="single" w:color="000000" w:sz="4"/>
                  </w:tcBorders>
                  <w:shd w:fill="D9D9D9" w:val="clear"/>
                  <w:tcMar>
                    <w:top w:type="dxa" w:w="30"/>
                    <w:left w:type="dxa" w:w="40"/>
                    <w:bottom w:type="dxa" w:w="30"/>
                    <w:right w:type="dxa" w:w="40"/>
                  </w:tcMar>
                </w:tcPr>
                <w:p>
                  <w:pPr>
                    <w:jc w:val="center"/>
                  </w:pPr>
                  <w:r>
                    <w:rPr>
                      <w:rFonts w:ascii="Times New Roman" w:cs="Times New Roman" w:eastAsia="Times New Roman" w:hAnsi="Times New Roman"/>
                      <w:b/>
                      <w:bCs/>
                      <w:i w:val="false"/>
                      <w:iCs w:val="false"/>
                      <w:sz w:val="12"/>
                      <w:szCs w:val="12"/>
                    </w:rPr>
                    <w:t xml:space="preserve">Fu</w:t>
                  </w:r>
                </w:p>
              </w:tc>
            </w:tr>
            <w:tr>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Fatkhurrochman</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r>
            <w:tr>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Kapti</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r>
            <w:tr>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M. A. Muin</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w:t>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c>
                <w:tcPr>
                  <w:tcW w:type="dxa" w:w="300"/>
                  <w:tcBorders>
                    <w:top w:val="single" w:color="000000" w:sz="4"/>
                    <w:left w:val="single" w:color="000000" w:sz="4"/>
                    <w:bottom w:val="single" w:color="000000" w:sz="4"/>
                    <w:right w:val="single" w:color="000000" w:sz="4"/>
                  </w:tcBorders>
                  <w:tcMar>
                    <w:top w:type="dxa" w:w="30"/>
                    <w:left w:type="dxa" w:w="40"/>
                    <w:bottom w:type="dxa" w:w="30"/>
                    <w:right w:type="dxa" w:w="40"/>
                  </w:tcMar>
                </w:tcPr>
                <w:p>
                  <w:pPr>
                    <w:jc w:val="center"/>
                  </w:pPr>
                  <w:r>
                    <w:rPr>
                      <w:rFonts w:ascii="Times New Roman" w:cs="Times New Roman" w:eastAsia="Times New Roman" w:hAnsi="Times New Roman"/>
                      <w:b w:val="false"/>
                      <w:bCs w:val="false"/>
                      <w:i w:val="false"/>
                      <w:iCs w:val="false"/>
                      <w:sz w:val="12"/>
                      <w:szCs w:val="12"/>
                    </w:rPr>
                    <w:t xml:space="preserve"/>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60" w:before="80"/>
            </w:pPr>
            <w:r>
              <w:rPr>
                <w:rFonts w:ascii="Times New Roman" w:cs="Times New Roman" w:eastAsia="Times New Roman" w:hAnsi="Times New Roman"/>
                <w:b/>
                <w:bCs/>
                <w:i w:val="false"/>
                <w:iCs w:val="false"/>
                <w:sz w:val="20"/>
                <w:szCs w:val="20"/>
              </w:rPr>
              <w:t xml:space="preserve">CONFLICT OF INTEREST STATEMENT</w:t>
            </w:r>
          </w:p>
          <w:p>
            <w:pPr>
              <w:spacing w:after="60" w:before="0" w:line="240"/>
              <w:jc w:val="both"/>
            </w:pPr>
            <w:r>
              <w:rPr>
                <w:rFonts w:ascii="Times New Roman" w:cs="Times New Roman" w:eastAsia="Times New Roman" w:hAnsi="Times New Roman"/>
                <w:b w:val="false"/>
                <w:bCs w:val="false"/>
                <w:i w:val="false"/>
                <w:iCs w:val="false"/>
                <w:sz w:val="20"/>
                <w:szCs w:val="20"/>
              </w:rPr>
              <w:t xml:space="preserve">Authors state no conflict of interest.</w:t>
            </w:r>
          </w:p>
          <w:p>
            <w:pPr>
              <w:spacing w:after="60" w:before="80"/>
            </w:pPr>
            <w:r>
              <w:rPr>
                <w:rFonts w:ascii="Times New Roman" w:cs="Times New Roman" w:eastAsia="Times New Roman" w:hAnsi="Times New Roman"/>
                <w:b/>
                <w:bCs/>
                <w:i w:val="false"/>
                <w:iCs w:val="false"/>
                <w:sz w:val="20"/>
                <w:szCs w:val="20"/>
              </w:rPr>
              <w:t xml:space="preserve">DATA AVAILABILITY</w:t>
            </w:r>
          </w:p>
          <w:p>
            <w:pPr>
              <w:spacing w:after="60" w:before="0" w:line="240"/>
              <w:jc w:val="both"/>
            </w:pPr>
            <w:r>
              <w:rPr>
                <w:rFonts w:ascii="Times New Roman" w:cs="Times New Roman" w:eastAsia="Times New Roman" w:hAnsi="Times New Roman"/>
                <w:b w:val="false"/>
                <w:bCs w:val="false"/>
                <w:i w:val="false"/>
                <w:iCs w:val="false"/>
                <w:sz w:val="20"/>
                <w:szCs w:val="20"/>
              </w:rPr>
              <w:t xml:space="preserve">The data and computational model supporting the findings of this study are available from the corresponding author upon reasonable request. The demo system is accessible at https://mcdm.mediapatner.com/</w:t>
            </w:r>
          </w:p>
        </w:tc>
      </w:tr>
    </w:tbl>
    <w:p>
      <w:pPr>
        <w:spacing w:after="80" w:before="0"/>
      </w:pPr>
      <w:r>
        <w:rPr>
          <w:rFonts w:ascii="Times New Roman" w:cs="Times New Roman" w:eastAsia="Times New Roman" w:hAnsi="Times New Roman"/>
          <w:b w:val="false"/>
          <w:bCs w:val="false"/>
          <w:i w:val="false"/>
          <w:iCs w:val="false"/>
          <w:sz w:val="20"/>
          <w:szCs w:val="20"/>
        </w:rPr>
        <w:t xml:space="preserve"/>
      </w:r>
    </w:p>
    <w:p>
      <w:pPr>
        <w:spacing w:after="60" w:before="120"/>
      </w:pPr>
      <w:r>
        <w:rPr>
          <w:rFonts w:ascii="Times New Roman" w:cs="Times New Roman" w:eastAsia="Times New Roman" w:hAnsi="Times New Roman"/>
          <w:b/>
          <w:bCs/>
          <w:i w:val="false"/>
          <w:iCs w:val="false"/>
          <w:sz w:val="20"/>
          <w:szCs w:val="20"/>
        </w:rPr>
        <w:t xml:space="preserve">REFERENCES</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 A. Batiha, "Evaluating nurse-to-patient ratio legislation to improve patient safety and care quality: A mixed-methods policy study," Appl. Nurs. Res., vol. 84, p. 151989, 2025.</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[2] Q. Zhang et al., "Barriers and facilitators to the application of nurse practitioners' training pilot programs in China," Nurse Educ. Today, vol. 145, p. 106501, 2025.</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[3] M. Pelayo-Díaz and I. Tovar-García, "Organizational culture and leadership style in Spanish hospitals: Effects on knowledge management and efficiency," Heliyon, vol. 10, 2024.</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[4] Z. Yang et al., "The effect of nomophobic behaviors among nurses on their clinical decision-making perceptions," Nurse Educ. Pract., vol. 77, p. 103978, 2024.</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[5] G. Yang, "The construction of nursing performance evaluation model in community health service center based on the balanced scorecard and hygiene factors," Sci. Rep., pp. 1–8, 2022, doi: 10.1038/s41598-022-26334-4.</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[6] C. Liu, H. Zhou, Y. Jin, Y. Chuang, and C. Chien, "Application of a hybrid model for evaluation and improvement of nurses' job satisfaction," Front. Public Health, vol. 10, pp. 1–13, 2022.</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[7] Y. Li, D. Xu, W. Chen, L. Yu, and Z. Wu, "Performance evaluation index system in public hospitals: The Delphi technique in nursing," Int. J. Health Plann. Manage., vol. 38, no. 1, pp. 204–213, 2023, doi: 10.1002/hpm.3581.</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[8] H. Regragui, N. Sefiani, H. Azzouzi, and N. Cheikhrouhou, "A hybrid multi-criteria decision-making approach for hospitals' sustainability performance evaluation under fuzzy environment," Sustainability, 2023.</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[9] S. Zhang, S. Zhang, F. Zhu, M. Deveci, and X. Liu, "Integrating case learning and consensus reaching in multi-criteria group sorting under hybrid assessment information," Eng. Appl. Artif. Intell., vol. 146, p. 110323, 2025.</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[10] Z. Wang, H. Liu, and X. Fan, "Hybrid machine learning and MCDM framework for consumer preference extraction and decision support," Technol. Soc., vol. 82, p. 102926, 2025.</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[11] H. Mohammed et al., "Assessment of nurses' workplace silence behaviour motives: A cross-sectional study," Int. J. Nurs. Sci., vol. 11, no. 5, pp. 553–562, 2024.</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[12] J. Hapi, Y. Yang, and T. N. Akudjedu, "Towards defining the competencies and leadership attributes for radiographer-led management in clinical practice: A scoping review," Radiography, vol. 31, p. 102969, 2025.</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[13] Virginia et al., "Mobile and wearable sensors for data-driven health monitoring system: State-of-the-art and future prospect," Expert Syst. Appl., vol. 202, p. 117362, 2022.</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[14] J. Toniolo et al., "Results of a Delphi study in France," Nurs. Outlook, vol. 73, no. 6, p. 102580, 2025.</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[15] A. Schilling et al., "Deep learning based decoding of single local field potential events," NeuroImage, vol. 297, p. 120696, 2024.</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[16] T. Sharma and A. Sarin, "Multi-criteria decision making for solar site selection in Punjab, India: An evaluation using hybrid MCDM techniques," Results Eng., vol. 27, p. 106288, 2025.</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[17] A. Qaroush, "Graph-based centrality framework for effective multi-video summarization," Inf. Process. Manag., vol. 62, no. 6, p. 104276, 2025.</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[18] T. Zhu, Y. Yu, and T. Tao, "A comprehensive evaluation of liposome/water partition coefficient prediction models based on the TOPSIS method," J. Hazard. Mater., vol. 443, p. 130181, 2023.</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[19] B. Sahoo and B. K. Debnath, "A novel hybrid spherical fuzzy multi-criteria decision-making approach to select the best hydroelectric power plant source in India," Renew. Energy Focus, vol. 51, p. 100650, 2024.</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[20] M. Kirisci, S. Kuzu, and A. Kablan, "The handling of healthcare waste analysis with an interval-valued Fermatean fuzzy-based decision-making technique," Sustain. Futur., vol. 9, p. 100581, 2025.</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[21] S. Asif, "Cache-MCDM: A hybrid caching scheme in Mobile Named Data Networks based on multi-criteria decision making," Futur. Gener. Comput. Syst., vol. 154, pp. 344–358, 2024.</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[22] L. D. Long, "Integrating the group-based fuzzy best-worst method and fuzzy TOPSIS for selecting contractors for heritage building renovation projects," Eng. Appl. Artif. Intell., vol. 142, p. 109928, 2025.</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[23] Fatkhurrochman, R. D. Handayani, Y. Febriani, and T. Yusnanto, "Web-Based Information and Reservation Media for VW Safari Borobudur," Int. J. Comput. Inf. Syst., vol. 4, no. 2, 2023.</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[24] A. Pramanik, A. N. Kayes, A. U. Fahim, K. Mst, and H. Tuba, "SME development for poverty alleviation using GIS and AHP-based multi-criteria decision analysis," Sustain. Futur., vol. 11, p. 101598, 2026.</w:t>
      </w:r>
    </w:p>
    <w:p>
      <w:pPr>
        <w:spacing w:after="40" w:before="0" w:line="240"/>
        <w:ind w:left="360" w:hanging="360"/>
        <w:jc w:val="both"/>
      </w:pPr>
      <w:r>
        <w:rPr>
          <w:rFonts w:ascii="Times New Roman" w:cs="Times New Roman" w:eastAsia="Times New Roman" w:hAnsi="Times New Roman"/>
          <w:b w:val="false"/>
          <w:bCs w:val="false"/>
          <w:i w:val="false"/>
          <w:iCs w:val="false"/>
          <w:sz w:val="16"/>
          <w:szCs w:val="16"/>
        </w:rPr>
        <w:t xml:space="preserve">[25] W. Wahyu Putra, "The best tourism recommendation system in Yogyakarta city with the integration of MFEP and K-Means clustering methods," vol. 8, no. 3, pp. 203–211, 2025.</w:t>
      </w:r>
    </w:p>
    <w:sectPr>
      <w:headerReference w:type="default" r:id="rId7"/>
      <w:pgSz w:w="11906" w:h="16838" w:orient="portrait"/>
      <w:pgMar w:top="1418"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20" w:before="0"/>
    </w:pPr>
    <w:r>
      <w:rPr>
        <w:rFonts w:ascii="Times New Roman" w:cs="Times New Roman" w:eastAsia="Times New Roman" w:hAnsi="Times New Roman"/>
        <w:b w:val="false"/>
        <w:bCs w:val="false"/>
        <w:i w:val="false"/>
        <w:iCs w:val="false"/>
        <w:sz w:val="16"/>
        <w:szCs w:val="16"/>
      </w:rPr>
      <w:t xml:space="preserve">102</w:t>
    </w:r>
    <w:r>
      <w:rPr>
        <w:rFonts w:ascii="Times New Roman" w:cs="Times New Roman" w:eastAsia="Times New Roman" w:hAnsi="Times New Roman"/>
        <w:b w:val="false"/>
        <w:bCs w:val="false"/>
        <w:i w:val="false"/>
        <w:iCs w:val="false"/>
        <w:sz w:val="16"/>
        <w:szCs w:val="16"/>
      </w:rPr>
      <w:t xml:space="preserve">				   ISSN: 1693-6930</w:t>
    </w:r>
  </w:p>
  <w:p>
    <w:pPr>
      <w:pBdr>
        <w:bottom w:val="single" w:color="000000" w:sz="6"/>
      </w:pBdr>
      <w:spacing w:after="0" w:before="0"/>
    </w:pPr>
    <w:r>
      <w:rPr>
        <w:rFonts w:ascii="Times New Roman" w:cs="Times New Roman" w:eastAsia="Times New Roman" w:hAnsi="Times New Roman"/>
        <w:b w:val="false"/>
        <w:bCs w:val="false"/>
        <w:i w:val="false"/>
        <w:iCs w:val="false"/>
        <w:sz w:val="16"/>
        <w:szCs w:val="16"/>
      </w:rPr>
      <w:t xml:space="preserve">TELKOMNIKA Telecommun Comput El Control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2026-05-18T06:45:01.736Z</dcterms:created>
  <dcterms:modified xsi:type="dcterms:W3CDTF">2026-05-18T06:45:01.737Z</dcterms:modified>
</cp:coreProperties>
</file>

<file path=docProps/custom.xml><?xml version="1.0" encoding="utf-8"?>
<Properties xmlns="http://schemas.openxmlformats.org/officeDocument/2006/custom-properties" xmlns:vt="http://schemas.openxmlformats.org/officeDocument/2006/docPropsVTypes"/>
</file>