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83.png" ContentType="image/png"/>
  <Override PartName="/word/media/rId79.png" ContentType="image/png"/>
  <Override PartName="/word/media/rId87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№10.</w:t>
      </w:r>
      <w:r>
        <w:t xml:space="preserve"> </w:t>
      </w: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отладчиком.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НС помощью отладчика исправить ошибку в коде.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терминала создадим подкаталог, создадим файл lab9-1.asm</w:t>
      </w:r>
    </w:p>
    <w:p>
      <w:pPr>
        <w:pStyle w:val="CaptionedFigure"/>
      </w:pPr>
      <w:bookmarkStart w:id="25" w:name="fig:001"/>
      <w:r>
        <w:drawing>
          <wp:inline>
            <wp:extent cx="5334000" cy="2294297"/>
            <wp:effectExtent b="0" l="0" r="0" t="0"/>
            <wp:docPr descr="Рис. 1: Новый каталог" title="" id="23" name="Picture"/>
            <a:graphic>
              <a:graphicData uri="http://schemas.openxmlformats.org/drawingml/2006/picture">
                <pic:pic>
                  <pic:nvPicPr>
                    <pic:cNvPr descr="image/lab10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Новый каталог</w:t>
      </w:r>
    </w:p>
    <w:p>
      <w:pPr>
        <w:numPr>
          <w:ilvl w:val="0"/>
          <w:numId w:val="1002"/>
        </w:numPr>
        <w:pStyle w:val="Compact"/>
      </w:pPr>
      <w:r>
        <w:t xml:space="preserve">Изучим и запишем в него код из листинга, откомпилируем и запустим файл.</w:t>
      </w:r>
    </w:p>
    <w:p>
      <w:pPr>
        <w:pStyle w:val="CaptionedFigure"/>
      </w:pPr>
      <w:bookmarkStart w:id="29" w:name="fig:002"/>
      <w:r>
        <w:drawing>
          <wp:inline>
            <wp:extent cx="5334000" cy="7496871"/>
            <wp:effectExtent b="0" l="0" r="0" t="0"/>
            <wp:docPr descr="Рис. 2: Листинг 1" title="" id="27" name="Picture"/>
            <a:graphic>
              <a:graphicData uri="http://schemas.openxmlformats.org/drawingml/2006/picture">
                <pic:pic>
                  <pic:nvPicPr>
                    <pic:cNvPr descr="image/lab10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Листинг 1</w:t>
      </w:r>
    </w:p>
    <w:p>
      <w:pPr>
        <w:numPr>
          <w:ilvl w:val="0"/>
          <w:numId w:val="1003"/>
        </w:numPr>
        <w:pStyle w:val="Compact"/>
      </w:pPr>
      <w:r>
        <w:t xml:space="preserve">Добавим в подпрограмму ещё одну подпрограмму</w:t>
      </w:r>
    </w:p>
    <w:p>
      <w:pPr>
        <w:pStyle w:val="CaptionedFigure"/>
      </w:pPr>
      <w:bookmarkStart w:id="33" w:name="fig:003"/>
      <w:r>
        <w:drawing>
          <wp:inline>
            <wp:extent cx="5334000" cy="7779386"/>
            <wp:effectExtent b="0" l="0" r="0" t="0"/>
            <wp:docPr descr="Рис. 3: Ввод 2-ой подпрограммы" title="" id="31" name="Picture"/>
            <a:graphic>
              <a:graphicData uri="http://schemas.openxmlformats.org/drawingml/2006/picture">
                <pic:pic>
                  <pic:nvPicPr>
                    <pic:cNvPr descr="image/lab10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Ввод 2-ой подпрограммы</w:t>
      </w:r>
    </w:p>
    <w:p>
      <w:pPr>
        <w:numPr>
          <w:ilvl w:val="0"/>
          <w:numId w:val="1004"/>
        </w:numPr>
        <w:pStyle w:val="Compact"/>
      </w:pPr>
      <w:r>
        <w:t xml:space="preserve">Создадим новый файл, запишим в него предложенный код, запустим отладчик и в нем запустим программу</w:t>
      </w:r>
    </w:p>
    <w:p>
      <w:pPr>
        <w:pStyle w:val="CaptionedFigure"/>
      </w:pPr>
      <w:bookmarkStart w:id="37" w:name="fig:004"/>
      <w:r>
        <w:drawing>
          <wp:inline>
            <wp:extent cx="5334000" cy="3899782"/>
            <wp:effectExtent b="0" l="0" r="0" t="0"/>
            <wp:docPr descr="Рис. 4: Запуск GDB" title="" id="35" name="Picture"/>
            <a:graphic>
              <a:graphicData uri="http://schemas.openxmlformats.org/drawingml/2006/picture">
                <pic:pic>
                  <pic:nvPicPr>
                    <pic:cNvPr descr="image/lab10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Запуск GDB</w:t>
      </w:r>
    </w:p>
    <w:p>
      <w:pPr>
        <w:pStyle w:val="CaptionedFigure"/>
      </w:pPr>
      <w:bookmarkStart w:id="41" w:name="fig:005"/>
      <w:r>
        <w:drawing>
          <wp:inline>
            <wp:extent cx="5334000" cy="744972"/>
            <wp:effectExtent b="0" l="0" r="0" t="0"/>
            <wp:docPr descr="Рис. 5: Вывод из программы в GDB" title="" id="39" name="Picture"/>
            <a:graphic>
              <a:graphicData uri="http://schemas.openxmlformats.org/drawingml/2006/picture">
                <pic:pic>
                  <pic:nvPicPr>
                    <pic:cNvPr descr="image/lab10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Вывод из программы в GDB</w:t>
      </w:r>
    </w:p>
    <w:p>
      <w:pPr>
        <w:numPr>
          <w:ilvl w:val="0"/>
          <w:numId w:val="1005"/>
        </w:numPr>
        <w:pStyle w:val="Compact"/>
      </w:pPr>
      <w:r>
        <w:t xml:space="preserve">Установим брейкпоинт.</w:t>
      </w:r>
    </w:p>
    <w:p>
      <w:pPr>
        <w:pStyle w:val="CaptionedFigure"/>
      </w:pPr>
      <w:bookmarkStart w:id="45" w:name="fig:006"/>
      <w:r>
        <w:drawing>
          <wp:inline>
            <wp:extent cx="5334000" cy="3191773"/>
            <wp:effectExtent b="0" l="0" r="0" t="0"/>
            <wp:docPr descr="Рис. 6: Брейкпоинт" title="" id="43" name="Picture"/>
            <a:graphic>
              <a:graphicData uri="http://schemas.openxmlformats.org/drawingml/2006/picture">
                <pic:pic>
                  <pic:nvPicPr>
                    <pic:cNvPr descr="image/lab10-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Брейкпоинт</w:t>
      </w:r>
    </w:p>
    <w:p>
      <w:pPr>
        <w:numPr>
          <w:ilvl w:val="0"/>
          <w:numId w:val="1006"/>
        </w:numPr>
        <w:pStyle w:val="Compact"/>
      </w:pPr>
      <w:r>
        <w:t xml:space="preserve">Рассмотрим отличия между синтаксисами. Как видно на скриншоте, ячейки памяти находятся с разных сторон от значений в них и в АТТ добавляются символы $ и %.</w:t>
      </w:r>
    </w:p>
    <w:p>
      <w:pPr>
        <w:pStyle w:val="CaptionedFigure"/>
      </w:pPr>
      <w:bookmarkStart w:id="49" w:name="fig:007"/>
      <w:r>
        <w:drawing>
          <wp:inline>
            <wp:extent cx="5003800" cy="7442200"/>
            <wp:effectExtent b="0" l="0" r="0" t="0"/>
            <wp:docPr descr="Рис. 7: Различие синтаксисов" title="" id="47" name="Picture"/>
            <a:graphic>
              <a:graphicData uri="http://schemas.openxmlformats.org/drawingml/2006/picture">
                <pic:pic>
                  <pic:nvPicPr>
                    <pic:cNvPr descr="image/lab10-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744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Различие синтаксисов</w:t>
      </w:r>
    </w:p>
    <w:p>
      <w:pPr>
        <w:numPr>
          <w:ilvl w:val="0"/>
          <w:numId w:val="1007"/>
        </w:numPr>
        <w:pStyle w:val="Compact"/>
      </w:pPr>
      <w:r>
        <w:t xml:space="preserve">Выведем режимы псевдографики, по началу layout asm будет пустой.</w:t>
      </w:r>
    </w:p>
    <w:p>
      <w:pPr>
        <w:pStyle w:val="CaptionedFigure"/>
      </w:pPr>
      <w:bookmarkStart w:id="53" w:name="fig:008"/>
      <w:r>
        <w:drawing>
          <wp:inline>
            <wp:extent cx="5334000" cy="5192232"/>
            <wp:effectExtent b="0" l="0" r="0" t="0"/>
            <wp:docPr descr="Рис. 8: Псевдографика" title="" id="51" name="Picture"/>
            <a:graphic>
              <a:graphicData uri="http://schemas.openxmlformats.org/drawingml/2006/picture">
                <pic:pic>
                  <pic:nvPicPr>
                    <pic:cNvPr descr="image/lab10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Псевдографика</w:t>
      </w:r>
    </w:p>
    <w:p>
      <w:pPr>
        <w:numPr>
          <w:ilvl w:val="0"/>
          <w:numId w:val="1008"/>
        </w:numPr>
        <w:pStyle w:val="Compact"/>
      </w:pPr>
      <w:r>
        <w:t xml:space="preserve">Добавим точки остановки</w:t>
      </w:r>
    </w:p>
    <w:p>
      <w:pPr>
        <w:pStyle w:val="CaptionedFigure"/>
      </w:pPr>
      <w:bookmarkStart w:id="57" w:name="fig:009"/>
      <w:r>
        <w:drawing>
          <wp:inline>
            <wp:extent cx="5334000" cy="2392325"/>
            <wp:effectExtent b="0" l="0" r="0" t="0"/>
            <wp:docPr descr="Рис. 9: Точки остановки" title="" id="55" name="Picture"/>
            <a:graphic>
              <a:graphicData uri="http://schemas.openxmlformats.org/drawingml/2006/picture">
                <pic:pic>
                  <pic:nvPicPr>
                    <pic:cNvPr descr="image/lab10-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Точки остановки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 i r посмотрим содержимое регистров, проделав операцию 5 раз заметим, что значения регистров не меняются</w:t>
      </w:r>
    </w:p>
    <w:p>
      <w:pPr>
        <w:pStyle w:val="CaptionedFigure"/>
      </w:pPr>
      <w:bookmarkStart w:id="61" w:name="fig:010"/>
      <w:r>
        <w:drawing>
          <wp:inline>
            <wp:extent cx="5334000" cy="3899122"/>
            <wp:effectExtent b="0" l="0" r="0" t="0"/>
            <wp:docPr descr="Рис. 10: Знач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lab10-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Значение регистров</w:t>
      </w:r>
    </w:p>
    <w:p>
      <w:pPr>
        <w:numPr>
          <w:ilvl w:val="0"/>
          <w:numId w:val="1010"/>
        </w:numPr>
        <w:pStyle w:val="Compact"/>
      </w:pPr>
      <w:r>
        <w:t xml:space="preserve">Теперь поменяем значение в 1 регистре на другое.</w:t>
      </w:r>
    </w:p>
    <w:p>
      <w:pPr>
        <w:pStyle w:val="CaptionedFigure"/>
      </w:pPr>
      <w:bookmarkStart w:id="65" w:name="fig:011"/>
      <w:r>
        <w:drawing>
          <wp:inline>
            <wp:extent cx="2832100" cy="1130300"/>
            <wp:effectExtent b="0" l="0" r="0" t="0"/>
            <wp:docPr descr="Рис. 11: Изменение значения с помощью отладчика" title="" id="63" name="Picture"/>
            <a:graphic>
              <a:graphicData uri="http://schemas.openxmlformats.org/drawingml/2006/picture">
                <pic:pic>
                  <pic:nvPicPr>
                    <pic:cNvPr descr="image/lab10-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значения с помощью отладчика</w:t>
      </w:r>
    </w:p>
    <w:p>
      <w:pPr>
        <w:numPr>
          <w:ilvl w:val="0"/>
          <w:numId w:val="1011"/>
        </w:numPr>
        <w:pStyle w:val="Compact"/>
      </w:pPr>
      <w:r>
        <w:t xml:space="preserve">Воспользумся другой функцией (set) и поменяем значение.</w:t>
      </w:r>
    </w:p>
    <w:p>
      <w:pPr>
        <w:pStyle w:val="CaptionedFigure"/>
      </w:pPr>
      <w:bookmarkStart w:id="69" w:name="fig:012"/>
      <w:r>
        <w:drawing>
          <wp:inline>
            <wp:extent cx="2070100" cy="1816100"/>
            <wp:effectExtent b="0" l="0" r="0" t="0"/>
            <wp:docPr descr="Рис. 12: Set" title="" id="67" name="Picture"/>
            <a:graphic>
              <a:graphicData uri="http://schemas.openxmlformats.org/drawingml/2006/picture">
                <pic:pic>
                  <pic:nvPicPr>
                    <pic:cNvPr descr="image/lab10-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Set</w:t>
      </w:r>
    </w:p>
    <w:p>
      <w:pPr>
        <w:numPr>
          <w:ilvl w:val="0"/>
          <w:numId w:val="1012"/>
        </w:numPr>
        <w:pStyle w:val="Compact"/>
      </w:pPr>
      <w:r>
        <w:t xml:space="preserve">Запустим программу из 9 лабораторной, установим брейкпоинт и изучим, что лежит в стэке. Шаг равен 4, потому что в 1 ячейке стэка 4 байта информации.</w:t>
      </w:r>
    </w:p>
    <w:p>
      <w:pPr>
        <w:pStyle w:val="CaptionedFigure"/>
      </w:pPr>
      <w:bookmarkStart w:id="73" w:name="fig:013"/>
      <w:r>
        <w:drawing>
          <wp:inline>
            <wp:extent cx="5334000" cy="2654821"/>
            <wp:effectExtent b="0" l="0" r="0" t="0"/>
            <wp:docPr descr="Рис. 13: Стэк" title="" id="71" name="Picture"/>
            <a:graphic>
              <a:graphicData uri="http://schemas.openxmlformats.org/drawingml/2006/picture">
                <pic:pic>
                  <pic:nvPicPr>
                    <pic:cNvPr descr="image/lab10-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Стэк</w:t>
      </w:r>
    </w:p>
    <w:bookmarkEnd w:id="74"/>
    <w:bookmarkStart w:id="91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3"/>
        </w:numPr>
        <w:pStyle w:val="Compact"/>
      </w:pPr>
      <w:r>
        <w:t xml:space="preserve">Скопируем файл и изменим код</w:t>
      </w:r>
    </w:p>
    <w:p>
      <w:pPr>
        <w:pStyle w:val="CaptionedFigure"/>
      </w:pPr>
      <w:bookmarkStart w:id="78" w:name="fig:014"/>
      <w:r>
        <w:drawing>
          <wp:inline>
            <wp:extent cx="5334000" cy="6389306"/>
            <wp:effectExtent b="0" l="0" r="0" t="0"/>
            <wp:docPr descr="Рис. 14: Самостоятельная работа номер 1" title="" id="76" name="Picture"/>
            <a:graphic>
              <a:graphicData uri="http://schemas.openxmlformats.org/drawingml/2006/picture">
                <pic:pic>
                  <pic:nvPicPr>
                    <pic:cNvPr descr="image/lab10-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Самостоятельная работа номер 1</w:t>
      </w:r>
    </w:p>
    <w:p>
      <w:pPr>
        <w:numPr>
          <w:ilvl w:val="0"/>
          <w:numId w:val="1014"/>
        </w:numPr>
        <w:pStyle w:val="Compact"/>
      </w:pPr>
      <w:r>
        <w:t xml:space="preserve">Предложенный код выводит ошибку, с помощью gdb и функций X/NFU посмотрим содержание регистра умножения, ещё надо поставить на нем брэикпоинт, заметим, что в нем изменяется eax, а суммируем мы с ebx и выводим значение в ebx, поэтому заменим в суммирование ebx на eax и получим правильный ответ 20.</w:t>
      </w:r>
    </w:p>
    <w:p>
      <w:pPr>
        <w:pStyle w:val="CaptionedFigure"/>
      </w:pPr>
      <w:bookmarkStart w:id="82" w:name="fig:015"/>
      <w:r>
        <w:drawing>
          <wp:inline>
            <wp:extent cx="5334000" cy="1093905"/>
            <wp:effectExtent b="0" l="0" r="0" t="0"/>
            <wp:docPr descr="Рис. 15: Первоначальный вывод" title="" id="80" name="Picture"/>
            <a:graphic>
              <a:graphicData uri="http://schemas.openxmlformats.org/drawingml/2006/picture">
                <pic:pic>
                  <pic:nvPicPr>
                    <pic:cNvPr descr="image/lab10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Первоначальный вывод</w:t>
      </w:r>
    </w:p>
    <w:p>
      <w:pPr>
        <w:pStyle w:val="CaptionedFigure"/>
      </w:pPr>
      <w:bookmarkStart w:id="86" w:name="fig:017"/>
      <w:r>
        <w:drawing>
          <wp:inline>
            <wp:extent cx="5334000" cy="13607924"/>
            <wp:effectExtent b="0" l="0" r="0" t="0"/>
            <wp:docPr descr="Рис. 16: Просмотр регистров" title="" id="84" name="Picture"/>
            <a:graphic>
              <a:graphicData uri="http://schemas.openxmlformats.org/drawingml/2006/picture">
                <pic:pic>
                  <pic:nvPicPr>
                    <pic:cNvPr descr="image/lab10-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Просмотр регистров</w:t>
      </w:r>
    </w:p>
    <w:p>
      <w:pPr>
        <w:pStyle w:val="CaptionedFigure"/>
      </w:pPr>
      <w:bookmarkStart w:id="90" w:name="fig:016"/>
      <w:r>
        <w:drawing>
          <wp:inline>
            <wp:extent cx="5334000" cy="5844430"/>
            <wp:effectExtent b="0" l="0" r="0" t="0"/>
            <wp:docPr descr="Рис. 17: Исправленный код" title="" id="88" name="Picture"/>
            <a:graphic>
              <a:graphicData uri="http://schemas.openxmlformats.org/drawingml/2006/picture">
                <pic:pic>
                  <pic:nvPicPr>
                    <pic:cNvPr descr="image/lab10-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Исправленный код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познакомились с отладчиком и с помощью него научились изменять программу.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79" Target="media/rId79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№10. Понятие подпрограммы. Отладчик GDB.</dc:title>
  <dc:creator>Крухмалев Артём Владиславович</dc:creator>
  <dc:language>ru-RU</dc:language>
  <cp:keywords/>
  <dcterms:created xsi:type="dcterms:W3CDTF">2022-12-16T11:01:52Z</dcterms:created>
  <dcterms:modified xsi:type="dcterms:W3CDTF">2022-12-16T11:01:52Z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НММ-бд-02-22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