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Calibri" w:hAnsi="Calibri" w:eastAsia="Microsoft YaHei"/>
          <w:b/>
          <w:color w:val="000000"/>
          <w:sz w:val="22"/>
        </w:rPr>
        <w:t>A01  |  AI 能力测评智能体</w:t>
      </w:r>
    </w:p>
    <w:p>
      <w:pPr>
        <w:pStyle w:val="Title"/>
        <w:spacing w:after="200"/>
      </w:pPr>
      <w:r>
        <w:t>未来发展文档</w:t>
      </w:r>
    </w:p>
    <w:p>
      <w:pPr>
        <w:pStyle w:val="Subtitle"/>
        <w:spacing w:after="400"/>
      </w:pPr>
      <w:r>
        <w:t>产品迭代、市场推广、教育生态与风险治理</w:t>
      </w:r>
    </w:p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材料序号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（3）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项目名称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AI 能力测评智能体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赛题方向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人工智能教育评价、技能测评与学习路径规划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提交版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版本日期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4" w:color="DDE5E8"/>
            </w:tcBorders>
          </w:tcPr>
          <w:p>
            <w:r>
              <w:t>2026年8月16日</w:t>
            </w:r>
          </w:p>
        </w:tc>
      </w:tr>
    </w:tbl>
    <w:p>
      <w:r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范围说明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本文基于当前可运行版本撰写。百宝箱双智能体已发布并通过真实接口验证；真实学员效度、教师双评和生产级身份体系仍按未完成或部分完成标注。</w:t>
            </w:r>
          </w:p>
        </w:tc>
      </w:tr>
    </w:tbl>
    <w:p>
      <w:r>
        <w:br w:type="page"/>
      </w:r>
    </w:p>
    <w:p>
      <w:pPr>
        <w:pStyle w:val="Heading1"/>
      </w:pPr>
      <w:r>
        <w:t>1. 发展愿景与当前基线</w:t>
      </w:r>
    </w:p>
    <w:p>
      <w:pPr>
        <w:spacing w:after="200"/>
      </w:pPr>
      <w:r>
        <w:t>产品将从校企联合 AI 能力培养原型演进为“岗位标准—测评—教学—训练—复测—授权匹配”的能力成长基础设施。当前已具备三角色入口、六维题库、自适应测评、百宝箱双智能体、过程证据、教师复核与企业轻量闭环，并完成100份分层仿真和模拟教师双评；下一阶段优先校准等级阈值并开展真实学生/教师验证，再推进视觉模型理解、真实AI操作环境和规模化部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000000"/>
          <w:sz w:val="17"/>
        </w:rPr>
        <w:t>图 1  从提交验证到教育生态平台化的演进路线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迭代原则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先验证测评是否有效，再扩大题量与用户规模；先建立责任、审计和人工复核，再提升自动化比例。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2. 产品迭代路线</w:t>
      </w:r>
    </w:p>
    <w:p>
      <w:pPr>
        <w:spacing w:after="200"/>
      </w:pPr>
      <w:r>
        <w:t>路线按证据成熟度分阶段推进，每阶段都设置可量化的退出条件。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12"/>
        <w:gridCol w:w="2736"/>
        <w:gridCol w:w="3384"/>
        <w:gridCol w:w="1728"/>
      </w:tblGrid>
      <w:tr>
        <w:trPr>
          <w:trHeight w:hRule="atLeast" w:val="547"/>
          <w:cantSplit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阶段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重点建设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关键交付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退出指标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提交前</w:t>
            </w:r>
          </w:p>
        </w:tc>
        <w:tc>
          <w:tcPr>
            <w:tcW w:type="dxa" w:w="27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真实预测试与评分校准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30名以上学员、教师双评、低质题修订、百宝箱真实样本评分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完成率、Kappa/相关性、区分度与问题闭环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0–3个月</w:t>
            </w:r>
          </w:p>
        </w:tc>
        <w:tc>
          <w:tcPr>
            <w:tcW w:type="dxa" w:w="27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课程级试点</w:t>
            </w:r>
          </w:p>
        </w:tc>
        <w:tc>
          <w:tcPr>
            <w:tcW w:type="dxa" w:w="33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千题题库一期、资源推荐、教师诊断周报、复测任务</w:t>
            </w:r>
          </w:p>
        </w:tc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课程使用率、报告有用度、建议完成率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3–6个月</w:t>
            </w:r>
          </w:p>
        </w:tc>
        <w:tc>
          <w:tcPr>
            <w:tcW w:type="dxa" w:w="273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机构级平台</w:t>
            </w:r>
          </w:p>
        </w:tc>
        <w:tc>
          <w:tcPr>
            <w:tcW w:type="dxa" w:w="33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PostgreSQL、多租户、统一身份、班级/课程配置、运营看板</w:t>
            </w:r>
          </w:p>
        </w:tc>
        <w:tc>
          <w:tcPr>
            <w:tcW w:type="dxa" w:w="172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稳定性、并发、权限审计、机构续用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6–12个月</w:t>
            </w:r>
          </w:p>
        </w:tc>
        <w:tc>
          <w:tcPr>
            <w:tcW w:type="dxa" w:w="273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生态与标准</w:t>
            </w:r>
          </w:p>
        </w:tc>
        <w:tc>
          <w:tcPr>
            <w:tcW w:type="dxa" w:w="33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岗位模板、证书标准、开放API、LMS/招聘/学习档案对接</w:t>
            </w:r>
          </w:p>
        </w:tc>
        <w:tc>
          <w:tcPr>
            <w:tcW w:type="dxa" w:w="172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标准复用数、生态连接数、能力提升证据</w:t>
            </w:r>
          </w:p>
        </w:tc>
      </w:tr>
    </w:tbl>
    <w:p>
      <w:pPr>
        <w:spacing w:after="20"/>
      </w:pPr>
    </w:p>
    <w:p>
      <w:pPr>
        <w:pStyle w:val="Heading2"/>
      </w:pPr>
      <w:r>
        <w:t>2.1 千题题库建设</w:t>
      </w:r>
    </w:p>
    <w:p>
      <w:pPr>
        <w:pStyle w:val="ListNumber"/>
        <w:numPr>
          <w:ilvl w:val="0"/>
          <w:numId w:val="10"/>
        </w:numPr>
      </w:pPr>
      <w:r>
        <w:t>建立维度 × 能力层级 × 题型 × 难度 × 场景的题目蓝图，先补齐稀缺格子，再扩总量。</w:t>
      </w:r>
    </w:p>
    <w:p>
      <w:pPr>
        <w:pStyle w:val="ListNumber"/>
        <w:numPr>
          <w:ilvl w:val="0"/>
          <w:numId w:val="10"/>
        </w:numPr>
      </w:pPr>
      <w:r>
        <w:t>采用专家编写、AI辅助草拟、第二人盲答、领域教师审核、小样本试测五级流程。</w:t>
      </w:r>
    </w:p>
    <w:p>
      <w:pPr>
        <w:pStyle w:val="ListNumber"/>
        <w:numPr>
          <w:ilvl w:val="0"/>
          <w:numId w:val="10"/>
        </w:numPr>
      </w:pPr>
      <w:r>
        <w:t>记录曝光、正确率、选项分布、平均用时、区分度和歧义反馈；以版本方式修改或停用。</w:t>
      </w:r>
    </w:p>
    <w:p>
      <w:pPr>
        <w:pStyle w:val="ListNumber"/>
        <w:numPr>
          <w:ilvl w:val="0"/>
          <w:numId w:val="10"/>
        </w:numPr>
      </w:pPr>
      <w:r>
        <w:t>保持同场去重与分层随机；当题库达到千题后增加曝光控制和相似题检测，降低记忆效应。</w:t>
      </w:r>
    </w:p>
    <w:p>
      <w:pPr>
        <w:pStyle w:val="ListNumber"/>
        <w:numPr>
          <w:ilvl w:val="0"/>
          <w:numId w:val="10"/>
        </w:numPr>
      </w:pPr>
      <w:r>
        <w:t>对行业版本只替换场景与知识要求，六维能力标准保持可比较。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规模不等于质量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千题题库应以蓝图覆盖与统计质量为目标，不使用模板机械复制。当前90题可作为首个校准批次。</w:t>
            </w:r>
          </w:p>
        </w:tc>
      </w:tr>
    </w:tbl>
    <w:p>
      <w:pPr>
        <w:spacing w:after="20"/>
      </w:pPr>
    </w:p>
    <w:p>
      <w:pPr>
        <w:pStyle w:val="Heading2"/>
      </w:pPr>
      <w:r>
        <w:t>2.2 评分与效度升级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464"/>
        <w:gridCol w:w="3096"/>
      </w:tblGrid>
      <w:tr>
        <w:trPr>
          <w:trHeight w:hRule="atLeast" w:val="547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方向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建设内容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验证方法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百宝箱评分</w:t>
            </w:r>
          </w:p>
        </w:tc>
        <w:tc>
          <w:tcPr>
            <w:tcW w:type="dxa" w:w="446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量表驱动提示、结构化JSON、失败降级、调用审计、人工接管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模型—人工相关、加权Kappa、分维度误差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题目参数</w:t>
            </w:r>
          </w:p>
        </w:tc>
        <w:tc>
          <w:tcPr>
            <w:tcW w:type="dxa" w:w="446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根据真实作答估计难度与区分度，逐步引入IRT/CAT</w:t>
            </w:r>
          </w:p>
        </w:tc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交叉验证、分层样本、阈值稳定性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等级标准</w:t>
            </w:r>
          </w:p>
        </w:tc>
        <w:tc>
          <w:tcPr>
            <w:tcW w:type="dxa" w:w="446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将L1–L5与课程目标、岗位任务和可观察产物对齐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专家效度、外部标准关联、复测稳定性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公平性</w:t>
            </w:r>
          </w:p>
        </w:tc>
        <w:tc>
          <w:tcPr>
            <w:tcW w:type="dxa" w:w="446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监测专业、年级、性别等群体差异并限制不必要特征</w:t>
            </w:r>
          </w:p>
        </w:tc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DIF分析、申诉样本复核、偏差审计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多模态任务</w:t>
            </w:r>
          </w:p>
        </w:tc>
        <w:tc>
          <w:tcPr>
            <w:tcW w:type="dxa" w:w="446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在现有文件证据留存上增加视觉理解、代码执行与真实工具调用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安全扫描、沙箱验证、产物评分、人工抽检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3. 个性化学习闭环</w:t>
      </w:r>
    </w:p>
    <w:p>
      <w:pPr>
        <w:spacing w:after="200"/>
      </w:pPr>
      <w:r>
        <w:t>未来报告不只指出分数，而是把每个薄弱维度映射到课程资源、训练任务和复测节点，形成可执行的学习路径。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84"/>
        <w:gridCol w:w="4320"/>
        <w:gridCol w:w="3456"/>
      </w:tblGrid>
      <w:tr>
        <w:trPr>
          <w:trHeight w:hRule="atLeast" w:val="547"/>
          <w:cantSplit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闭环步骤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产品能力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数据证据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诊断</w:t>
            </w:r>
          </w:p>
        </w:tc>
        <w:tc>
          <w:tcPr>
            <w:tcW w:type="dxa" w:w="432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自适应测评与六维画像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维度分、置信度、题型/难度、错题与用时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推荐</w:t>
            </w:r>
          </w:p>
        </w:tc>
        <w:tc>
          <w:tcPr>
            <w:tcW w:type="dxa" w:w="432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按能力层级匹配微课、案例、提示模板和风险清单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薄弱标签、课程目标、资源先修关系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练习</w:t>
            </w:r>
          </w:p>
        </w:tc>
        <w:tc>
          <w:tcPr>
            <w:tcW w:type="dxa" w:w="432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生成针对性开放/实操任务，允许真实AI工具协作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过程日志、产物、人工确认点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反馈</w:t>
            </w:r>
          </w:p>
        </w:tc>
        <w:tc>
          <w:tcPr>
            <w:tcW w:type="dxa" w:w="432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量表评分、解释、改进建议和教师点评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评分点、来源证据、模型/人工版本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复测</w:t>
            </w:r>
          </w:p>
        </w:tc>
        <w:tc>
          <w:tcPr>
            <w:tcW w:type="dxa" w:w="432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间隔1–2周抽取等价题并比较成长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同维度变化、置信度、复测稳定性</w:t>
            </w:r>
          </w:p>
        </w:tc>
      </w:tr>
      <w:tr>
        <w:trPr>
          <w:trHeight w:hRule="atLeast"/>
          <w:cantSplit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认证</w:t>
            </w:r>
          </w:p>
        </w:tc>
        <w:tc>
          <w:tcPr>
            <w:tcW w:type="dxa" w:w="432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达到标准后生成可核验能力记录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标准版本、测评批次、复核与申诉状态</w:t>
            </w:r>
          </w:p>
        </w:tc>
      </w:tr>
    </w:tbl>
    <w:p>
      <w:pPr>
        <w:spacing w:after="20"/>
      </w:pPr>
    </w:p>
    <w:p>
      <w:pPr>
        <w:pStyle w:val="Heading2"/>
      </w:pPr>
      <w:r>
        <w:t>3.1 推荐策略</w:t>
      </w:r>
    </w:p>
    <w:p>
      <w:pPr>
        <w:pStyle w:val="ListBullet"/>
      </w:pPr>
      <w:r>
        <w:t>低分低置信度：先补测再推荐，避免根据不足证据过度个性化。</w:t>
      </w:r>
    </w:p>
    <w:p>
      <w:pPr>
        <w:pStyle w:val="ListBullet"/>
      </w:pPr>
      <w:r>
        <w:t>低分高置信度：推荐基础概念、示范案例和短周期刻意练习。</w:t>
      </w:r>
    </w:p>
    <w:p>
      <w:pPr>
        <w:pStyle w:val="ListBullet"/>
      </w:pPr>
      <w:r>
        <w:t>高分低置信度：安排不同题型或更高难度任务以确认能力稳定性。</w:t>
      </w:r>
    </w:p>
    <w:p>
      <w:pPr>
        <w:pStyle w:val="ListBullet"/>
      </w:pPr>
      <w:r>
        <w:t>高分高置信度：推荐综合项目、同伴辅导与组织级治理任务。</w:t>
      </w:r>
    </w:p>
    <w:p>
      <w:pPr>
        <w:pStyle w:val="ListBullet"/>
      </w:pPr>
      <w:r>
        <w:t>伦理与合规维度设置硬门槛：即使综合分高，也不得跳过必要的风险训练。</w:t>
      </w:r>
    </w:p>
    <w:p/>
    <w:p>
      <w:pPr>
        <w:pStyle w:val="Heading1"/>
      </w:pPr>
      <w:r>
        <w:t>4. 教育生态整合方案</w:t>
      </w:r>
    </w:p>
    <w:p>
      <w:pPr>
        <w:spacing w:after="200"/>
      </w:pPr>
      <w:r>
        <w:t>系统通过标准API、事件与数据字典对接学校统一身份、课程平台、学习档案、证书和企业人才系统。只交换完成业务目的所需的最小数据，并保留授权、撤回和申诉机制。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088"/>
        <w:gridCol w:w="2376"/>
        <w:gridCol w:w="3096"/>
      </w:tblGrid>
      <w:tr>
        <w:trPr>
          <w:trHeight w:hRule="atLeast" w:val="547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生态对象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对接方式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输入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5"/>
              </w:rPr>
              <w:t>输出/价值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统一身份/教务</w:t>
            </w:r>
          </w:p>
        </w:tc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OIDC/SAML、组织与课程同步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用户、班级、课程、角色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免重复注册、权限与范围隔离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LMS/教学平台</w:t>
            </w:r>
          </w:p>
        </w:tc>
        <w:tc>
          <w:tcPr>
            <w:tcW w:type="dxa" w:w="20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REST API、LTI、Webhook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课程目标、资源、作业</w:t>
            </w:r>
          </w:p>
        </w:tc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诊断结果、学习建议、复测任务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学习档案/LRS</w:t>
            </w:r>
          </w:p>
        </w:tc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xAPI/标准事件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学习活动与完成记录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能力成长轨迹与证据链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证书/技能标准</w:t>
            </w:r>
          </w:p>
        </w:tc>
        <w:tc>
          <w:tcPr>
            <w:tcW w:type="dxa" w:w="20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标准映射与签发接口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认证规则、标准版本</w:t>
            </w:r>
          </w:p>
        </w:tc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可核验能力等级与复核状态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企业培训/招聘</w:t>
            </w:r>
          </w:p>
        </w:tc>
        <w:tc>
          <w:tcPr>
            <w:tcW w:type="dxa" w:w="208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岗位模板、匿名群体洞察、授权匹配接口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岗位任务、能力权重</w:t>
            </w:r>
          </w:p>
        </w:tc>
        <w:tc>
          <w:tcPr>
            <w:tcW w:type="dxa" w:w="309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培训差距与本人可见的岗位能力参考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百宝箱</w:t>
            </w:r>
          </w:p>
        </w:tc>
        <w:tc>
          <w:tcPr>
            <w:tcW w:type="dxa" w:w="208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服务端API适配器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题目、量表、作答、最小上下文</w:t>
            </w:r>
          </w:p>
        </w:tc>
        <w:tc>
          <w:tcPr>
            <w:tcW w:type="dxa" w:w="309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5"/>
              </w:rPr>
              <w:t>结构化初评、反馈、对话/任务能力扩展</w:t>
            </w:r>
          </w:p>
        </w:tc>
      </w:tr>
    </w:tbl>
    <w:p>
      <w:pPr>
        <w:spacing w:after="20"/>
      </w:pPr>
    </w:p>
    <w:p>
      <w:pPr>
        <w:pStyle w:val="Heading2"/>
      </w:pPr>
      <w:r>
        <w:t>4.1 与“AI智能·教学辅具”数据打通</w:t>
      </w:r>
    </w:p>
    <w:p>
      <w:pPr>
        <w:pStyle w:val="ListNumber"/>
        <w:numPr>
          <w:ilvl w:val="0"/>
          <w:numId w:val="11"/>
        </w:numPr>
      </w:pPr>
      <w:r>
        <w:t>统一能力字典：以六维ID、L1–L5等级、题目标签和课程目标作为共同语义。</w:t>
      </w:r>
    </w:p>
    <w:p>
      <w:pPr>
        <w:pStyle w:val="ListNumber"/>
        <w:numPr>
          <w:ilvl w:val="0"/>
          <w:numId w:val="11"/>
        </w:numPr>
      </w:pPr>
      <w:r>
        <w:t>统一学员与课程标识：通过学校身份系统或匿名映射ID建立最小关联。</w:t>
      </w:r>
    </w:p>
    <w:p>
      <w:pPr>
        <w:pStyle w:val="ListNumber"/>
        <w:numPr>
          <w:ilvl w:val="0"/>
          <w:numId w:val="11"/>
        </w:numPr>
      </w:pPr>
      <w:r>
        <w:t>事件化交换：测评完成、建议下发、资源学习、练习提交和复测完成均形成事件。</w:t>
      </w:r>
    </w:p>
    <w:p>
      <w:pPr>
        <w:pStyle w:val="ListNumber"/>
        <w:numPr>
          <w:ilvl w:val="0"/>
          <w:numId w:val="11"/>
        </w:numPr>
      </w:pPr>
      <w:r>
        <w:t>资源回流：教学辅具根据薄弱标签推送微课/案例；学习完成状态回流用于安排复测。</w:t>
      </w:r>
    </w:p>
    <w:p>
      <w:pPr>
        <w:pStyle w:val="ListNumber"/>
        <w:numPr>
          <w:ilvl w:val="0"/>
          <w:numId w:val="11"/>
        </w:numPr>
      </w:pPr>
      <w:r>
        <w:t>教师闭环：班级短板进入备课与教学分析，教师调整课程后观察下一周期变化。</w:t>
      </w:r>
    </w:p>
    <w:p>
      <w:pPr>
        <w:pStyle w:val="ListNumber"/>
        <w:numPr>
          <w:ilvl w:val="0"/>
          <w:numId w:val="11"/>
        </w:numPr>
      </w:pPr>
      <w:r>
        <w:t>治理闭环：标准、题库、量表、模型和推荐规则均带版本号，支持撤回和审计。</w:t>
      </w:r>
    </w:p>
    <w:p/>
    <w:p>
      <w:pPr>
        <w:pStyle w:val="Heading1"/>
      </w:pPr>
      <w:r>
        <w:t>5. 市场推广策略</w:t>
      </w:r>
    </w:p>
    <w:p>
      <w:pPr>
        <w:spacing w:after="200"/>
      </w:pPr>
      <w:r>
        <w:t>市场推广先以高校课程诊断形成可信案例，再扩展到企业培训与个人学习。核心卖点不是“自动打分”，而是可解释的能力标准、较短时间的自适应诊断和可执行的教学闭环。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024"/>
        <w:gridCol w:w="2376"/>
        <w:gridCol w:w="2015"/>
      </w:tblGrid>
      <w:tr>
        <w:trPr>
          <w:trHeight w:hRule="atLeast" w:val="547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目标市场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首要需求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切入产品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价值证明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高校AI通识课程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班级差异大、教师难以分层教学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课程前测 + 班级报告 + 复测</w:t>
            </w:r>
          </w:p>
        </w:tc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完成率、教师节省时间、教学调整与能力提升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职业院校/培训机构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实操能力和岗位能力衔接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行业题库 + 实操任务 + 证据报告</w:t>
            </w:r>
          </w:p>
        </w:tc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岗位任务完成度、证书通过率、复测提升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企业培训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员工AI应用水平与治理风险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岗位模板 + 批量测评 + 管理看板</w:t>
            </w:r>
          </w:p>
        </w:tc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培训ROI、流程效率、合规问题减少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个人学习者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不知道短板和学习顺序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快速测评 + 学习路径 + 阶段复测</w:t>
            </w:r>
          </w:p>
        </w:tc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建议采纳率、练习完成率、成长留存</w:t>
            </w:r>
          </w:p>
        </w:tc>
      </w:tr>
    </w:tbl>
    <w:p>
      <w:pPr>
        <w:spacing w:after="20"/>
      </w:pPr>
    </w:p>
    <w:p>
      <w:pPr>
        <w:pStyle w:val="Heading2"/>
      </w:pPr>
      <w:r>
        <w:t>5.1 推广节奏</w:t>
      </w:r>
    </w:p>
    <w:p>
      <w:pPr>
        <w:pStyle w:val="ListNumber"/>
        <w:numPr>
          <w:ilvl w:val="0"/>
          <w:numId w:val="12"/>
        </w:numPr>
      </w:pPr>
      <w:r>
        <w:t>设计伙伴：选择1–2门AI通识课程，与教师共同定义目标、招募样本并完成效度验证。</w:t>
      </w:r>
    </w:p>
    <w:p>
      <w:pPr>
        <w:pStyle w:val="ListNumber"/>
        <w:numPr>
          <w:ilvl w:val="0"/>
          <w:numId w:val="12"/>
        </w:numPr>
      </w:pPr>
      <w:r>
        <w:t>案例沉淀：发布匿名化试点报告，展示完成时间、评审一致性、题目修订和教学改进证据。</w:t>
      </w:r>
    </w:p>
    <w:p>
      <w:pPr>
        <w:pStyle w:val="ListNumber"/>
        <w:numPr>
          <w:ilvl w:val="0"/>
          <w:numId w:val="12"/>
        </w:numPr>
      </w:pPr>
      <w:r>
        <w:t>校内复制：提供课程模板、题库包、教师培训和学期诊断服务，从单门课程扩到学院。</w:t>
      </w:r>
    </w:p>
    <w:p>
      <w:pPr>
        <w:pStyle w:val="ListNumber"/>
        <w:numPr>
          <w:ilvl w:val="0"/>
          <w:numId w:val="12"/>
        </w:numPr>
      </w:pPr>
      <w:r>
        <w:t>区域合作：与产教融合基地、职业教育联盟和企业培训部门联合建立行业能力模板。</w:t>
      </w:r>
    </w:p>
    <w:p>
      <w:pPr>
        <w:pStyle w:val="ListNumber"/>
        <w:numPr>
          <w:ilvl w:val="0"/>
          <w:numId w:val="12"/>
        </w:numPr>
      </w:pPr>
      <w:r>
        <w:t>生态分发：通过教学平台插件/API、证书合作和岗位画像对接获得规模化触达。</w:t>
      </w:r>
    </w:p>
    <w:p>
      <w:pPr>
        <w:pStyle w:val="Heading2"/>
      </w:pPr>
      <w:r>
        <w:t>5.2 商业与服务模式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752"/>
        <w:gridCol w:w="2808"/>
      </w:tblGrid>
      <w:tr>
        <w:trPr>
          <w:trHeight w:hRule="atLeast" w:val="547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版本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主要能力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建议模式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高校课程版</w:t>
            </w:r>
          </w:p>
        </w:tc>
        <w:tc>
          <w:tcPr>
            <w:tcW w:type="dxa" w:w="475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课程前/后测、班级看板、题库与报告</w:t>
            </w:r>
          </w:p>
        </w:tc>
        <w:tc>
          <w:tcPr>
            <w:tcW w:type="dxa" w:w="28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按课程/学期授权或校级服务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机构专业版</w:t>
            </w:r>
          </w:p>
        </w:tc>
        <w:tc>
          <w:tcPr>
            <w:tcW w:type="dxa" w:w="475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多租户、统一身份、行业题库、数据接口</w:t>
            </w:r>
          </w:p>
        </w:tc>
        <w:tc>
          <w:tcPr>
            <w:tcW w:type="dxa" w:w="28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年度SaaS或私有化部署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企业培训版</w:t>
            </w:r>
          </w:p>
        </w:tc>
        <w:tc>
          <w:tcPr>
            <w:tcW w:type="dxa" w:w="475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岗位模板、批量测评、合规治理与培训闭环</w:t>
            </w:r>
          </w:p>
        </w:tc>
        <w:tc>
          <w:tcPr>
            <w:tcW w:type="dxa" w:w="28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按席位/项目/机构授权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个人学习版</w:t>
            </w:r>
          </w:p>
        </w:tc>
        <w:tc>
          <w:tcPr>
            <w:tcW w:type="dxa" w:w="475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快速诊断、训练计划、复测与成长档案</w:t>
            </w:r>
          </w:p>
        </w:tc>
        <w:tc>
          <w:tcPr>
            <w:tcW w:type="dxa" w:w="28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基础免费 + 进阶学习服务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6. 运营指标与验证体系</w:t>
      </w:r>
    </w:p>
    <w:p>
      <w:pPr>
        <w:spacing w:after="200"/>
      </w:pPr>
      <w:r>
        <w:t>指标分为测评质量、用户价值、教学价值、平台稳定和商业扩展五组，防止只追求注册量或题库数量。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4680"/>
        <w:gridCol w:w="2808"/>
      </w:tblGrid>
      <w:tr>
        <w:trPr>
          <w:trHeight w:hRule="atLeast" w:val="547"/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指标组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核心指标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建议目标/判定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测评质量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完成率、平均时长、重测稳定性、等级一致率、加权Kappa、题目区分度</w:t>
            </w:r>
          </w:p>
        </w:tc>
        <w:tc>
          <w:tcPr>
            <w:tcW w:type="dxa" w:w="28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先建立基线；样本不足时只做过程监测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评分质量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模型—人工相关、分维度误差、低置信度率、人工改分率</w:t>
            </w:r>
          </w:p>
        </w:tc>
        <w:tc>
          <w:tcPr>
            <w:tcW w:type="dxa" w:w="28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达到团队预设阈值后再提高自动化比例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用户价值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报告有用度、建议点击/完成率、复测率、能力提升</w:t>
            </w:r>
          </w:p>
        </w:tc>
        <w:tc>
          <w:tcPr>
            <w:tcW w:type="dxa" w:w="28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报告评分≥4/5并持续跟踪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教学价值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教师使用率、备课调整次数、班级短板改善</w:t>
            </w:r>
          </w:p>
        </w:tc>
        <w:tc>
          <w:tcPr>
            <w:tcW w:type="dxa" w:w="28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形成可复核的课程改进案例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平台质量</w:t>
            </w:r>
          </w:p>
        </w:tc>
        <w:tc>
          <w:tcPr>
            <w:tcW w:type="dxa" w:w="4680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可用性、接口错误率、P95延迟、恢复时间、备份成功率</w:t>
            </w:r>
          </w:p>
        </w:tc>
        <w:tc>
          <w:tcPr>
            <w:tcW w:type="dxa" w:w="2808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按试点规模设SLA并逐步提升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增长与商业</w:t>
            </w:r>
          </w:p>
        </w:tc>
        <w:tc>
          <w:tcPr>
            <w:tcW w:type="dxa" w:w="4680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试点转化、机构续用、活跃课程数、生态连接数</w:t>
            </w:r>
          </w:p>
        </w:tc>
        <w:tc>
          <w:tcPr>
            <w:tcW w:type="dxa" w:w="2808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以真实复购和使用深度验证价值</w:t>
            </w:r>
          </w:p>
        </w:tc>
      </w:tr>
    </w:tbl>
    <w:p>
      <w:pPr>
        <w:spacing w:after="20"/>
      </w:pPr>
    </w:p>
    <w:p/>
    <w:p>
      <w:pPr>
        <w:pStyle w:val="Heading1"/>
      </w:pPr>
      <w:r>
        <w:t>7. 风险与治理</w:t>
      </w:r>
    </w:p>
    <w:p>
      <w:pPr>
        <w:spacing w:after="200"/>
      </w:pPr>
      <w:r>
        <w:t>教育评价属于高影响场景，系统必须把测评结果定位为学习与教学决策的辅助证据，避免未经验证地用于淘汰性决策。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3024"/>
        <w:gridCol w:w="4392"/>
      </w:tblGrid>
      <w:tr>
        <w:trPr>
          <w:trHeight w:hRule="atLeast" w:val="547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风险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影响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治理措施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测评效度不足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分数不能代表真实能力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真实样本校准、专家评审、复测、外部标准关联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模型评分偏差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开放题对表达风格或群体产生不公平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量表约束、双评抽检、分群分析、申诉与人工裁决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题库泄露/记忆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结果被刷题影响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千题池、曝光控制、等价题、定期换卷与异常检测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隐私与用途漂移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个人数据被超范围使用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最小化、告知同意、目的限制、保留期限、删除与审计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过度依赖单一模型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接口故障、成本或政策变化影响系统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评分适配器、多供应商、规则降级、人工接管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错误用于招聘/认证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对个人产生不当影响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仅在明确授权和效度达标后使用；提供人工复核与申诉</w:t>
            </w:r>
          </w:p>
        </w:tc>
      </w:tr>
    </w:tbl>
    <w:p>
      <w:pPr>
        <w:spacing w:after="20"/>
      </w:pPr>
    </w:p>
    <w:p>
      <w:pPr>
        <w:pStyle w:val="Heading2"/>
      </w:pPr>
      <w:r>
        <w:t>7.1 决策红线</w:t>
      </w:r>
    </w:p>
    <w:p>
      <w:pPr>
        <w:pStyle w:val="ListBullet"/>
      </w:pPr>
      <w:r>
        <w:t>未完成真实效度验证前，不将分数作为录取、淘汰或处分的唯一依据。</w:t>
      </w:r>
    </w:p>
    <w:p>
      <w:pPr>
        <w:pStyle w:val="ListBullet"/>
      </w:pPr>
      <w:r>
        <w:t>百宝箱或其他模型只生成辅助初评，不得绕过评分量表、日志和人工复核。</w:t>
      </w:r>
    </w:p>
    <w:p>
      <w:pPr>
        <w:pStyle w:val="ListBullet"/>
      </w:pPr>
      <w:r>
        <w:t>不得把学员原始作答用于模型再训练，除非另行取得明确、可撤回授权。</w:t>
      </w:r>
    </w:p>
    <w:p>
      <w:pPr>
        <w:pStyle w:val="ListBullet"/>
      </w:pPr>
      <w:r>
        <w:t>不因提高完成率而删除伦理与合规维度，也不以综合高分抵消高风险表现。</w:t>
      </w:r>
    </w:p>
    <w:p>
      <w:pPr>
        <w:pStyle w:val="ListBullet"/>
      </w:pPr>
      <w:r>
        <w:t>所有面向外部的准确率、一致性和提升数据必须注明样本、方法、时间与适用范围。</w:t>
      </w:r>
    </w:p>
    <w:p/>
    <w:p>
      <w:pPr>
        <w:pStyle w:val="Heading1"/>
      </w:pPr>
      <w:r>
        <w:t>8. 未来发展验收矩阵</w:t>
      </w:r>
    </w:p>
    <w:p>
      <w:pPr>
        <w:spacing w:after="200"/>
      </w:pPr>
      <w:r>
        <w:t>该矩阵对应未来发展材料的产品、市场、生态和扩展要求。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44"/>
        <w:gridCol w:w="5832"/>
        <w:gridCol w:w="1584"/>
      </w:tblGrid>
      <w:tr>
        <w:trPr>
          <w:trHeight w:hRule="atLeast" w:val="547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提交要求</w:t>
            </w:r>
          </w:p>
        </w:tc>
        <w:tc>
          <w:tcPr>
            <w:tcW w:type="dxa" w:w="5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本文件对应内容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交付结论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产品迭代方向</w:t>
            </w:r>
          </w:p>
        </w:tc>
        <w:tc>
          <w:tcPr>
            <w:tcW w:type="dxa" w:w="58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第2–3章：题库、评分、效度、多模态与个性化学习闭环</w:t>
            </w:r>
          </w:p>
        </w:tc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分阶段、有退出指标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市场推广策略</w:t>
            </w:r>
          </w:p>
        </w:tc>
        <w:tc>
          <w:tcPr>
            <w:tcW w:type="dxa" w:w="58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第5章：高校、职教、企业与个人市场，试点—案例—复制—生态</w:t>
            </w:r>
          </w:p>
        </w:tc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以验证数据而非宣传口号驱动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教育生态整合</w:t>
            </w:r>
          </w:p>
        </w:tc>
        <w:tc>
          <w:tcPr>
            <w:tcW w:type="dxa" w:w="583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第4章：身份、LMS、LRS、证书、招聘与百宝箱接口</w:t>
            </w:r>
          </w:p>
        </w:tc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统一能力字典、最小数据与版本治理</w:t>
            </w:r>
          </w:p>
        </w:tc>
      </w:tr>
      <w:tr>
        <w:trPr>
          <w:trHeight w:hRule="atLeast"/>
          <w:cantSplit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创新与可扩展</w:t>
            </w:r>
          </w:p>
        </w:tc>
        <w:tc>
          <w:tcPr>
            <w:tcW w:type="dxa" w:w="5832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千题题库、IRT/CAT、多模态、岗位/证书标准与开放API</w:t>
            </w:r>
          </w:p>
        </w:tc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建立在现有模块化架构之上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近期首要行动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百宝箱、三角色原型以及100份分层仿真双评已经完成。下一步先按仿真暴露的问题校准等级阈值，再用小规模真实学生与真实教师复核确认；随后完成视觉/实操任务验证与稳定在线部署。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000000"/>
        <w:sz w:val="17"/>
      </w:rPr>
      <w:t xml:space="preserve">A01 · AI能力测评智能体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000000"/>
        <w:sz w:val="17"/>
      </w:rPr>
      <w:t>03 未来发展文档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AI能力测评智能体——未来发展文档</dc:title>
  <dc:subject>2026数字马力杯A01项目提交材料</dc:subject>
  <dc:creator>python-docx</dc:creator>
  <cp:keywords>A01, AI能力测评, 自适应测评, 教育评价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