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  <w:r>
        <w:rPr>
          <w:rFonts w:ascii="Calibri" w:hAnsi="Calibri" w:eastAsia="Microsoft YaHei"/>
          <w:b/>
          <w:color w:val="000000"/>
          <w:sz w:val="22"/>
        </w:rPr>
        <w:t>A01  |  AI 能力测评智能体</w:t>
      </w:r>
    </w:p>
    <w:p>
      <w:pPr>
        <w:pStyle w:val="Title"/>
        <w:spacing w:after="200"/>
      </w:pPr>
      <w:r>
        <w:t>100份仿真人工样本与模拟教师双评校验报告</w:t>
      </w:r>
    </w:p>
    <w:p>
      <w:pPr>
        <w:pStyle w:val="Subtitle"/>
        <w:spacing w:after="400"/>
      </w:pPr>
      <w:r>
        <w:t>分层样本、测评表现、一致性统计与阈值校准</w:t>
      </w:r>
    </w:p>
    <w:p>
      <w:r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材料序号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（4）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项目名称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AI 能力测评智能体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赛题方向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人工智能教育评价、技能测评与学习路径规划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文档状态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提交版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版本日期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2026年8月16日</w:t>
            </w:r>
          </w:p>
        </w:tc>
      </w:tr>
    </w:tbl>
    <w:p>
      <w:r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范围说明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本文基于当前可运行版本撰写。百宝箱双智能体已发布并通过真实接口验证；真实学员效度、教师双评和生产级身份体系仍按未完成或部分完成标注。</w:t>
            </w:r>
          </w:p>
        </w:tc>
      </w:tr>
    </w:tbl>
    <w:p>
      <w:r>
        <w:br w:type="page"/>
      </w:r>
    </w:p>
    <w:p>
      <w:pPr>
        <w:pStyle w:val="Heading1"/>
      </w:pPr>
      <w:r>
        <w:t>1. 结论摘要</w:t>
      </w:r>
    </w:p>
    <w:p>
      <w:pPr>
        <w:spacing w:after="200"/>
      </w:pPr>
      <w:r>
        <w:t>本轮以固定随机种子生成100名仿真学员，L1-L5各20人，每人完成25题。结果验证了自适应流程、双评和争议裁决可以规模化运行，也暴露出现有等级阈值与仿真能力层级不匹配。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98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lidation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8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000000"/>
          <w:sz w:val="17"/>
        </w:rPr>
        <w:t>图 1  分层测评分与一致性关键指标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76"/>
        <w:gridCol w:w="2376"/>
        <w:gridCol w:w="4608"/>
      </w:tblGrid>
      <w:tr>
        <w:trPr>
          <w:trHeight w:hRule="atLeast" w:val="547"/>
          <w:cantSplit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指标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结果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解释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样本结构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100人；L1-L5各20人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单层占比20%，不存在某一层过度集中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完整作答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2500条；完成率100%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每人25题，均含开放题和实操题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潜在能力-测评分相关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0.946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分数能较好反映连续能力排序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等级命中率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31.0%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现有50/65/80/90阈值整体偏高，必须校准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模拟教师双评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200份答案 / 400条评分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两名独立模拟教师均覆盖所有非客观题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二次加权Kappa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0.861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模拟评分器之间一致性较好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争议裁决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14份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差异达到满分20%时引入模拟教师C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证据边界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100份样本均为程序生成的仿真人工答题，不是真实学生数据；双评由两名独立模拟教师评分器完成，不替代真实教师签字与现场效度验证。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2. 样本设计与个体差异</w:t>
      </w:r>
    </w:p>
    <w:p>
      <w:pPr>
        <w:spacing w:after="200"/>
      </w:pPr>
      <w:r>
        <w:t>五层等额抽样保证能力覆盖；同层内部通过专业背景、六维偏科、速度、粗心率和开放题表达产生个体差异，避免复制固定答案。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"/>
        <w:gridCol w:w="936"/>
        <w:gridCol w:w="1296"/>
        <w:gridCol w:w="1152"/>
        <w:gridCol w:w="1512"/>
        <w:gridCol w:w="3528"/>
      </w:tblGrid>
      <w:tr>
        <w:trPr>
          <w:trHeight w:hRule="atLeast" w:val="547"/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层级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人数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平均分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标准差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平均用时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预测等级分布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L1</w:t>
            </w:r>
          </w:p>
        </w:tc>
        <w:tc>
          <w:tcPr>
            <w:tcW w:type="dxa" w:w="93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20</w:t>
            </w:r>
          </w:p>
        </w:tc>
        <w:tc>
          <w:tcPr>
            <w:tcW w:type="dxa" w:w="12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28.54</w:t>
            </w:r>
          </w:p>
        </w:tc>
        <w:tc>
          <w:tcPr>
            <w:tcW w:type="dxa" w:w="115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5.16</w:t>
            </w:r>
          </w:p>
        </w:tc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33.08分钟</w:t>
            </w:r>
          </w:p>
        </w:tc>
        <w:tc>
          <w:tcPr>
            <w:tcW w:type="dxa" w:w="352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{"L1": 20}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L2</w:t>
            </w:r>
          </w:p>
        </w:tc>
        <w:tc>
          <w:tcPr>
            <w:tcW w:type="dxa" w:w="93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20</w:t>
            </w:r>
          </w:p>
        </w:tc>
        <w:tc>
          <w:tcPr>
            <w:tcW w:type="dxa" w:w="12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42.35</w:t>
            </w:r>
          </w:p>
        </w:tc>
        <w:tc>
          <w:tcPr>
            <w:tcW w:type="dxa" w:w="115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5.33</w:t>
            </w:r>
          </w:p>
        </w:tc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32.75分钟</w:t>
            </w:r>
          </w:p>
        </w:tc>
        <w:tc>
          <w:tcPr>
            <w:tcW w:type="dxa" w:w="352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{"L1": 19, "L2": 1}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L3</w:t>
            </w:r>
          </w:p>
        </w:tc>
        <w:tc>
          <w:tcPr>
            <w:tcW w:type="dxa" w:w="93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20</w:t>
            </w:r>
          </w:p>
        </w:tc>
        <w:tc>
          <w:tcPr>
            <w:tcW w:type="dxa" w:w="12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59.94</w:t>
            </w:r>
          </w:p>
        </w:tc>
        <w:tc>
          <w:tcPr>
            <w:tcW w:type="dxa" w:w="115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7.03</w:t>
            </w:r>
          </w:p>
        </w:tc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30.76分钟</w:t>
            </w:r>
          </w:p>
        </w:tc>
        <w:tc>
          <w:tcPr>
            <w:tcW w:type="dxa" w:w="352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{"L2": 17, "L3": 3}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L4</w:t>
            </w:r>
          </w:p>
        </w:tc>
        <w:tc>
          <w:tcPr>
            <w:tcW w:type="dxa" w:w="93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20</w:t>
            </w:r>
          </w:p>
        </w:tc>
        <w:tc>
          <w:tcPr>
            <w:tcW w:type="dxa" w:w="12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72.47</w:t>
            </w:r>
          </w:p>
        </w:tc>
        <w:tc>
          <w:tcPr>
            <w:tcW w:type="dxa" w:w="115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7.04</w:t>
            </w:r>
          </w:p>
        </w:tc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29.76分钟</w:t>
            </w:r>
          </w:p>
        </w:tc>
        <w:tc>
          <w:tcPr>
            <w:tcW w:type="dxa" w:w="352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{"L2": 1, "L4": 4, "L3": 15}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L5</w:t>
            </w:r>
          </w:p>
        </w:tc>
        <w:tc>
          <w:tcPr>
            <w:tcW w:type="dxa" w:w="93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20</w:t>
            </w:r>
          </w:p>
        </w:tc>
        <w:tc>
          <w:tcPr>
            <w:tcW w:type="dxa" w:w="12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81.78</w:t>
            </w:r>
          </w:p>
        </w:tc>
        <w:tc>
          <w:tcPr>
            <w:tcW w:type="dxa" w:w="115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7.75</w:t>
            </w:r>
          </w:p>
        </w:tc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29.16分钟</w:t>
            </w:r>
          </w:p>
        </w:tc>
        <w:tc>
          <w:tcPr>
            <w:tcW w:type="dxa" w:w="352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{"L5": 3, "L3": 8, "L4": 9}</w:t>
            </w:r>
          </w:p>
        </w:tc>
      </w:tr>
    </w:tbl>
    <w:p>
      <w:pPr>
        <w:spacing w:after="20"/>
      </w:pPr>
    </w:p>
    <w:p>
      <w:pPr>
        <w:pStyle w:val="ListBullet"/>
      </w:pPr>
      <w:r>
        <w:t>能力层级：L1-L5各20人，最大层级占比20%。</w:t>
      </w:r>
    </w:p>
    <w:p>
      <w:pPr>
        <w:pStyle w:val="ListBullet"/>
      </w:pPr>
      <w:r>
        <w:t>背景覆盖：文史、经管、理工、计算机、设计、教育、医学、公共管理、高职和跨专业共10类。</w:t>
      </w:r>
    </w:p>
    <w:p>
      <w:pPr>
        <w:pStyle w:val="ListBullet"/>
      </w:pPr>
      <w:r>
        <w:t>六维差异：每人随机设置两个优势维度和两个薄弱维度，其余维度保留轻微波动。</w:t>
      </w:r>
    </w:p>
    <w:p>
      <w:pPr>
        <w:pStyle w:val="ListBullet"/>
      </w:pPr>
      <w:r>
        <w:t>行为差异：快速、稳健、审慎三类节奏叠加个人速度系数与粗心率。</w:t>
      </w:r>
    </w:p>
    <w:p>
      <w:pPr>
        <w:pStyle w:val="ListBullet"/>
      </w:pPr>
      <w:r>
        <w:t>开放题差异：按能力决定量表覆盖、关键词覆盖、结构完整度和风险控制内容。</w:t>
      </w:r>
    </w:p>
    <w:p/>
    <w:p>
      <w:pPr>
        <w:pStyle w:val="Heading1"/>
      </w:pPr>
      <w:r>
        <w:t>3. 模拟教师双评与裁决</w:t>
      </w:r>
    </w:p>
    <w:p>
      <w:pPr>
        <w:spacing w:after="200"/>
      </w:pPr>
      <w:r>
        <w:t>两名模拟教师在不知道对方评分的情况下独立评价200份开放/实操答案；当差异达到满分20%时，由第三模拟评分器与中位数规则裁决。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96"/>
        <w:gridCol w:w="1655"/>
        <w:gridCol w:w="4608"/>
      </w:tblGrid>
      <w:tr>
        <w:trPr>
          <w:trHeight w:hRule="atLeast" w:val="547"/>
          <w:cantSplit/>
        </w:trP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数值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判读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双评答案数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200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达到流程统计规模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教师间Pearson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0.927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连续分数变化一致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二次加权Kappa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0.861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分档一致性较好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模型-模拟教师Pearson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0.932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规则初评与模拟人工均分较一致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重大分歧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14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均已进入第三方模拟裁决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裁决完成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14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争议闭环完成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不能替代真人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Kappa与相关系数描述的是两名模拟评分器的一致性，只能验证数据结构、复核流程和统计代码；真实教师可能具有不同量表理解、专业判断和群体偏差。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4. 等级阈值问题</w:t>
      </w:r>
    </w:p>
    <w:p>
      <w:pPr>
        <w:spacing w:after="200"/>
      </w:pPr>
      <w:r>
        <w:t>连续能力排序表现较好，但固定等级阈值明显高于本轮仿真分布，造成L2-L5大量向低一级或两级偏移。该问题必须在真实试测前先形成校准候选。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88"/>
        <w:gridCol w:w="1454"/>
        <w:gridCol w:w="1454"/>
        <w:gridCol w:w="1454"/>
        <w:gridCol w:w="1454"/>
        <w:gridCol w:w="1454"/>
      </w:tblGrid>
      <w:tr>
        <w:trPr>
          <w:trHeight w:hRule="atLeast" w:val="547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真实仿真层级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L1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L2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L3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L4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L5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L1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20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L2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19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L3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17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L4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15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145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L5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145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3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5"/>
        <w:gridCol w:w="1655"/>
        <w:gridCol w:w="2376"/>
        <w:gridCol w:w="3671"/>
      </w:tblGrid>
      <w:tr>
        <w:trPr>
          <w:trHeight w:hRule="atLeast" w:val="547"/>
          <w:cantSplit/>
        </w:trP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分界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当前下限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仿真中点候选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处置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L1/L2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50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35.4</w:t>
            </w:r>
          </w:p>
        </w:tc>
        <w:tc>
          <w:tcPr>
            <w:tcW w:type="dxa" w:w="3671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仅作为下一轮仿真候选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L2/L3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65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51.1</w:t>
            </w:r>
          </w:p>
        </w:tc>
        <w:tc>
          <w:tcPr>
            <w:tcW w:type="dxa" w:w="3671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结合真实教师判断复核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L3/L4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80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66.2</w:t>
            </w:r>
          </w:p>
        </w:tc>
        <w:tc>
          <w:tcPr>
            <w:tcW w:type="dxa" w:w="3671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检查课程目标与岗位标准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L4/L5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90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77.1</w:t>
            </w:r>
          </w:p>
        </w:tc>
        <w:tc>
          <w:tcPr>
            <w:tcW w:type="dxa" w:w="3671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高等级需增加真实实操作品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不直接改生产阈值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仿真中点只能用于候选方案比较。正式阈值必须结合真实学生样本、教师判断、课程目标、复测稳定性和外部任务表现确定。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5. 可复现资产与后续验证</w:t>
      </w:r>
    </w:p>
    <w:p>
      <w:pPr>
        <w:spacing w:after="200"/>
      </w:pPr>
      <w:r>
        <w:t>全部仿真数据保存在独立目录，不写入正式assessment.db。固定种子允许团队复跑并比较算法或阈值调整前后的差异。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68"/>
        <w:gridCol w:w="3960"/>
        <w:gridCol w:w="2232"/>
      </w:tblGrid>
      <w:tr>
        <w:trPr>
          <w:trHeight w:hRule="atLeast" w:val="547"/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资产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用途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synthetic_validation.db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100用户、100测评、2500答案、400双评与14裁决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完整追溯与接口验证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synthetic_respondents.csv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层级、背景、用时、总分和六维分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分层统计与图表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synthetic_answers.csv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逐题类型、难度、得分和用时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题目质量与区分度分析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synthetic_teacher_reviews.csv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两名模拟教师逐答案评分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相关、Kappa和偏差分析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synthetic_review_resolutions.csv</w:t>
            </w:r>
          </w:p>
        </w:tc>
        <w:tc>
          <w:tcPr>
            <w:tcW w:type="dxa" w:w="396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争议答案模拟裁决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复核闭环审计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synthetic_validation_report.json</w:t>
            </w:r>
          </w:p>
        </w:tc>
        <w:tc>
          <w:tcPr>
            <w:tcW w:type="dxa" w:w="396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本报告使用的汇总指标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API与文档数据源</w:t>
            </w:r>
          </w:p>
        </w:tc>
      </w:tr>
    </w:tbl>
    <w:p>
      <w:pPr>
        <w:spacing w:after="20"/>
      </w:pPr>
    </w:p>
    <w:p>
      <w:pPr>
        <w:pStyle w:val="ListNumber"/>
        <w:numPr>
          <w:ilvl w:val="0"/>
          <w:numId w:val="10"/>
        </w:numPr>
      </w:pPr>
      <w:r>
        <w:t>使用仿真中点作为候选阈值再运行100份样本，比较命中率、相邻混淆和六维稳定性。</w:t>
      </w:r>
    </w:p>
    <w:p>
      <w:pPr>
        <w:pStyle w:val="ListNumber"/>
        <w:numPr>
          <w:ilvl w:val="0"/>
          <w:numId w:val="10"/>
        </w:numPr>
      </w:pPr>
      <w:r>
        <w:t>招募可获得的少量真实学生，不要求一次达到100人；优先覆盖不同能力与专业。</w:t>
      </w:r>
    </w:p>
    <w:p>
      <w:pPr>
        <w:pStyle w:val="ListNumber"/>
        <w:numPr>
          <w:ilvl w:val="0"/>
          <w:numId w:val="10"/>
        </w:numPr>
      </w:pPr>
      <w:r>
        <w:t>邀请两名真实教师对同一批开放/实操答案盲评，计算真实Kappa并访谈分歧原因。</w:t>
      </w:r>
    </w:p>
    <w:p>
      <w:pPr>
        <w:pStyle w:val="ListNumber"/>
        <w:numPr>
          <w:ilvl w:val="0"/>
          <w:numId w:val="10"/>
        </w:numPr>
      </w:pPr>
      <w:r>
        <w:t>将真实教师裁决结果用于修订量表、提示词和题目，而不是仅调整模型分数。</w:t>
      </w:r>
    </w:p>
    <w:p>
      <w:pPr>
        <w:pStyle w:val="ListNumber"/>
        <w:numPr>
          <w:ilvl w:val="0"/>
          <w:numId w:val="10"/>
        </w:numPr>
      </w:pPr>
      <w:r>
        <w:t>真实样本不足时只报告样本数、方法和不确定性，不把仿真结果改名为真人结果。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复现命令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python tools/simulate_balanced_cohort.py --output-dir docs/synthetic_validation_100 --per-level 20 --target 25 --seed 20260816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000000"/>
        <w:sz w:val="17"/>
      </w:rPr>
      <w:t xml:space="preserve">A01 · AI能力测评智能体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000000"/>
        <w:sz w:val="17"/>
      </w:rPr>
      <w:t>04 100份仿真人工样本与模拟教师双评校验报告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A01 100份仿真人工样本与模拟教师双评校验报告</dc:title>
  <dc:subject>2026数字马力杯A01项目提交材料</dc:subject>
  <dc:creator>python-docx</dc:creator>
  <cp:keywords>A01, AI能力测评, 自适应测评, 教育评价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