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Distribución de la actividad de arquitectura</w:t>
      </w:r>
    </w:p>
    <w:p>
      <w:pPr>
        <w:jc w:val="center"/>
      </w:pPr>
      <w:r>
        <w:rPr>
          <w:b/>
          <w:color w:val="146C94"/>
        </w:rPr>
        <w:t>TutoríasFácil · Reservar una tutoría académica</w:t>
      </w:r>
    </w:p>
    <w:p>
      <w:r>
        <w:t>Esta propuesta reparte las secciones de la actividad de arquitectura de interfaces entre los cuatro integrantes. Cada responsabilidad produce una parte concreta del PDF y se integra con los requisitos, el sitemap, la navegación, el user flow, los componentes, los seis wireframes y la trazabilidad.</w:t>
      </w:r>
    </w:p>
    <w:p>
      <w:pPr>
        <w:pStyle w:val="Heading1"/>
      </w:pPr>
      <w:r>
        <w:t>Reparto propuesto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088"/>
        <w:gridCol w:w="4824"/>
      </w:tblGrid>
      <w:tr>
        <w:tc>
          <w:tcPr>
            <w:tcW w:type="dxa" w:w="3456"/>
            <w:vAlign w:val="center"/>
            <w:shd w:fill="17324D"/>
          </w:tcPr>
          <w:p>
            <w:r>
              <w:rPr>
                <w:b/>
                <w:color w:val="FFFFFF"/>
                <w:sz w:val="17"/>
              </w:rPr>
              <w:t>Integrante</w:t>
            </w:r>
          </w:p>
        </w:tc>
        <w:tc>
          <w:tcPr>
            <w:tcW w:type="dxa" w:w="3456"/>
            <w:vAlign w:val="center"/>
            <w:shd w:fill="17324D"/>
          </w:tcPr>
          <w:p>
            <w:r>
              <w:rPr>
                <w:b/>
                <w:color w:val="FFFFFF"/>
                <w:sz w:val="17"/>
              </w:rPr>
              <w:t>Sección</w:t>
            </w:r>
          </w:p>
        </w:tc>
        <w:tc>
          <w:tcPr>
            <w:tcW w:type="dxa" w:w="3456"/>
            <w:vAlign w:val="center"/>
            <w:shd w:fill="17324D"/>
          </w:tcPr>
          <w:p>
            <w:r>
              <w:rPr>
                <w:b/>
                <w:color w:val="FFFFFF"/>
                <w:sz w:val="17"/>
              </w:rPr>
              <w:t>Tareas y resultado</w:t>
            </w:r>
          </w:p>
        </w:tc>
      </w:tr>
      <w:tr>
        <w:tc>
          <w:tcPr>
            <w:tcW w:type="dxa" w:w="3168"/>
            <w:vAlign w:val="center"/>
            <w:shd w:fill="F1F6F9"/>
          </w:tcPr>
          <w:p>
            <w:pPr>
              <w:spacing w:after="40" w:before="40"/>
            </w:pPr>
            <w:r>
              <w:rPr>
                <w:b/>
                <w:color w:val="17324D"/>
                <w:sz w:val="17"/>
              </w:rPr>
              <w:t>Carolina Elizabeth De la Cruz Llundo</w:t>
              <w:br/>
              <w:t>@Elizabeth1925</w:t>
            </w:r>
          </w:p>
        </w:tc>
        <w:tc>
          <w:tcPr>
            <w:tcW w:type="dxa" w:w="2088"/>
            <w:vAlign w:val="center"/>
            <w:shd w:fill="F1F6F9"/>
          </w:tcPr>
          <w:p>
            <w:pPr>
              <w:spacing w:after="40" w:before="40"/>
            </w:pPr>
            <w:r>
              <w:rPr>
                <w:sz w:val="17"/>
              </w:rPr>
              <w:t>Requisitos e historias de usuario</w:t>
            </w:r>
          </w:p>
        </w:tc>
        <w:tc>
          <w:tcPr>
            <w:tcW w:type="dxa" w:w="4824"/>
            <w:vAlign w:val="center"/>
            <w:shd w:fill="F1F6F9"/>
          </w:tcPr>
          <w:p>
            <w:pPr>
              <w:spacing w:after="40" w:before="40"/>
            </w:pPr>
            <w:r>
              <w:rPr>
                <w:sz w:val="17"/>
              </w:rPr>
              <w:t>Redactar R1–R4 con un verbo de acción por requisito; revisar que cada historia exprese una necesidad del estudiante.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b/>
                <w:color w:val="17324D"/>
                <w:sz w:val="17"/>
              </w:rPr>
              <w:t>Verónica Anabel Jaque Bonilla</w:t>
              <w:br/>
              <w:t>@ArteMisa82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Sitemap y navegación</w:t>
            </w:r>
          </w:p>
        </w:tc>
        <w:tc>
          <w:tcPr>
            <w:tcW w:type="dxa" w:w="482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Asignar pantallas a R1–R4; documentar los enlaces, controles y reglas de avance, retorno y error.</w:t>
            </w:r>
          </w:p>
        </w:tc>
      </w:tr>
      <w:tr>
        <w:tc>
          <w:tcPr>
            <w:tcW w:type="dxa" w:w="3168"/>
            <w:vAlign w:val="center"/>
            <w:shd w:fill="F1F6F9"/>
          </w:tcPr>
          <w:p>
            <w:pPr>
              <w:spacing w:after="40" w:before="40"/>
            </w:pPr>
            <w:r>
              <w:rPr>
                <w:b/>
                <w:color w:val="17324D"/>
                <w:sz w:val="17"/>
              </w:rPr>
              <w:t>Andrew Johan Lara Fernández</w:t>
              <w:br/>
              <w:t>@alara05</w:t>
            </w:r>
          </w:p>
        </w:tc>
        <w:tc>
          <w:tcPr>
            <w:tcW w:type="dxa" w:w="2088"/>
            <w:vAlign w:val="center"/>
            <w:shd w:fill="F1F6F9"/>
          </w:tcPr>
          <w:p>
            <w:pPr>
              <w:spacing w:after="40" w:before="40"/>
            </w:pPr>
            <w:r>
              <w:rPr>
                <w:sz w:val="17"/>
              </w:rPr>
              <w:t>User flow y componentes</w:t>
            </w:r>
          </w:p>
        </w:tc>
        <w:tc>
          <w:tcPr>
            <w:tcW w:type="dxa" w:w="4824"/>
            <w:vAlign w:val="center"/>
            <w:shd w:fill="F1F6F9"/>
          </w:tcPr>
          <w:p>
            <w:pPr>
              <w:spacing w:after="40" w:before="40"/>
            </w:pPr>
            <w:r>
              <w:rPr>
                <w:sz w:val="17"/>
              </w:rPr>
              <w:t>Representar el camino feliz y la rama de horario no disponible; definir niveles y estados de los componentes vinculados a cada requisito.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b/>
                <w:color w:val="17324D"/>
                <w:sz w:val="17"/>
              </w:rPr>
              <w:t>Freddy Sebastián Vaca Ramos</w:t>
              <w:br/>
              <w:t>@Sebas2h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Wireframes y trazabilidad</w:t>
            </w:r>
          </w:p>
        </w:tc>
        <w:tc>
          <w:tcPr>
            <w:tcW w:type="dxa" w:w="4824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Preparar W1–W6, incluyendo el estado de error W4; comprobar que cada requisito se refleje en las pantallas, navegación, flujo y componentes.</w:t>
            </w:r>
          </w:p>
        </w:tc>
      </w:tr>
    </w:tbl>
    <w:p>
      <w:pPr>
        <w:pStyle w:val="Heading1"/>
      </w:pPr>
      <w:r>
        <w:t>Integración y revisión</w:t>
      </w:r>
    </w:p>
    <w:p>
      <w:pPr>
        <w:pStyle w:val="ListBullet"/>
      </w:pPr>
      <w:r>
        <w:t>El grupo confirma que R1–R4 usan un verbo cada uno y que las pantallas numeradas corresponden al sitemap del documento.</w:t>
      </w:r>
    </w:p>
    <w:p>
      <w:pPr>
        <w:pStyle w:val="ListBullet"/>
      </w:pPr>
      <w:r>
        <w:t>La rama “horario no disponible” debe mostrar un mensaje y permitir elegir otro horario sin perder el contexto.</w:t>
      </w:r>
    </w:p>
    <w:p>
      <w:pPr>
        <w:pStyle w:val="ListBullet"/>
      </w:pPr>
      <w:r>
        <w:t>W4 representa un estado alternativo de la pantalla Detalle de tutoría; no se cuenta como una nueva pantalla del sitemap.</w:t>
      </w:r>
    </w:p>
    <w:p>
      <w:pPr>
        <w:pStyle w:val="ListBullet"/>
      </w:pPr>
      <w:r>
        <w:t>La tabla de trazabilidad se revisa en conjunto para comprobar que cada requisito tenga navegación, flujo, componentes y wireframes asociados.</w:t>
      </w:r>
    </w:p>
    <w:p>
      <w:r>
        <w:rPr>
          <w:b/>
        </w:rPr>
        <w:t xml:space="preserve">Alcance. </w:t>
      </w:r>
      <w:r>
        <w:t>Este reparto organiza las secciones y no certifica por sí solo quién realizó cada una. El README y el historial Git deben describir aportes auténticos.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1"/>
        <w:sz w:val="16"/>
      </w:rPr>
      <w:t>TutoríasFácil · Interacción Humano Computador · UTA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A36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6C9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