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Gurman Dhot</w:t>
      </w:r>
    </w:p>
    <w:p>
      <w:pPr>
        <w:jc w:val="left"/>
      </w:pPr>
      <w:r>
        <w:t>CS 405: Secure Coding</w:t>
      </w:r>
    </w:p>
    <w:p>
      <w:pPr>
        <w:jc w:val="left"/>
      </w:pPr>
      <w:r>
        <w:t>October 25, 2026</w:t>
      </w:r>
    </w:p>
    <w:p>
      <w:pPr>
        <w:jc w:val="center"/>
      </w:pPr>
      <w:r>
        <w:rPr>
          <w:b/>
        </w:rPr>
        <w:t>Module Eight Journal: Portfolio Reflection</w:t>
      </w:r>
    </w:p>
    <w:p>
      <w:pPr>
        <w:ind w:firstLine="720"/>
      </w:pPr>
      <w:r>
        <w:t>As this course went on, I stopped thinking of security as a final checklist you run right before submitting a project. Our C++ exercises made that pretty clear: an integer overflow or an unchecked container index is a small coding mistake that can turn into a serious problem later. Working with the SEI CERT C++ Coding Standard gave me practical rules for recognizing those risks, and our container-indexing tests reinforced why checking boundaries matters. NIST's Secure Software Development Framework also supports building security into the entire process instead of waiting until the end (SEI CERT, n.d.; NIST, 2022). Going forward, I want secure coding checks to be part of my normal routine, not something I scramble to add afterward.</w:t>
      </w:r>
    </w:p>
    <w:p>
      <w:pPr>
        <w:ind w:firstLine="720"/>
      </w:pPr>
      <w:r>
        <w:t>Risk assessment also changed how I would spend limited time and resources. While writing my proposed Green Pace security policy, I had to think beyond a list of vulnerabilities and ask which ones could cause the most damage. I would look at likelihood, impact, how exposed a system is, the cost of a fix, and any risk that remains. For example, a reachable SQL injection weakness affecting sensitive information deserves more attention than a minor issue with little exposure. NIST's risk assessment guidance helped reinforce the value of prioritizing problems rather than treating every warning as equally urgent (NIST, 2012). That makes security decisions easier to explain to a team or manager, too.</w:t>
      </w:r>
    </w:p>
    <w:p>
      <w:pPr>
        <w:ind w:firstLine="720"/>
      </w:pPr>
      <w:r>
        <w:t>Zero Trust was another big perspective shift. I used to picture a company network as a safe space once someone signed in. Now I understand why a user or device should not receive automatic trust just for being on the inside. As NIST (2020) explains, access should depend on verified identity and authorization, not just network location. I would support that approach with multifactor authentication, least-privilege permissions, and monitoring for unusual access. As a user, a little extra verification might be annoying, but I would rather deal with that than have one stolen account open the door to everything.</w:t>
      </w:r>
    </w:p>
    <w:p>
      <w:pPr>
        <w:ind w:firstLine="720"/>
      </w:pPr>
      <w:r>
        <w:t>Finally, the Green Pace policy project showed me that a security policy only matters if developers can actually follow it. We outlined expectations for input validation, safer memory and container handling, authentication, and code review, but writing those rules is only the first step. My recommendation would be to connect the policy to pull-request checklists, unit tests, automated static analysis, and regular updates as new risks appear. I would also explain why each rule exists so security feels useful instead of like extra paperwork. My biggest takeaway from CS-405 is that secure software comes from small, repeatable decisions throughout development, not a last-minute rescue mission.</w:t>
      </w:r>
    </w:p>
    <w:p>
      <w:pPr>
        <w:jc w:val="center"/>
      </w:pPr>
      <w:r>
        <w:rPr>
          <w:b/>
        </w:rPr>
        <w:t>References</w:t>
      </w:r>
    </w:p>
    <w:p>
      <w:pPr>
        <w:ind w:left="720" w:hanging="720"/>
      </w:pPr>
      <w:r>
        <w:t>National Institute of Standards and Technology. (2012). Guide for conducting risk assessments (SP 800-30 Rev. 1). https://doi.org/10.6028/NIST.SP.800-30r1</w:t>
      </w:r>
    </w:p>
    <w:p>
      <w:pPr>
        <w:ind w:left="720" w:hanging="720"/>
      </w:pPr>
      <w:r>
        <w:t>National Institute of Standards and Technology. (2020). Zero trust architecture (SP 800-207). https://doi.org/10.6028/NIST.SP.800-207</w:t>
      </w:r>
    </w:p>
    <w:p>
      <w:pPr>
        <w:ind w:left="720" w:hanging="720"/>
      </w:pPr>
      <w:r>
        <w:t>National Institute of Standards and Technology. (2022). Secure software development framework (SP 800-218). https://doi.org/10.6028/NIST.SP.800-218</w:t>
      </w:r>
    </w:p>
    <w:p>
      <w:pPr>
        <w:ind w:left="720" w:hanging="720"/>
      </w:pPr>
      <w:r>
        <w:t>Software Engineering Institute. (n.d.). SEI CERT C++ coding standard. https://cmu-sei.github.io/secure-coding-standards/sei-cert-cpp-coding-standard/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405 Module Eight Journal: Portfolio Reflection</dc:title>
  <dc:subject>Secure coding standards, risk assessment, Zero Trust, and security policies</dc:subject>
  <dc:creator>Gurman Dhot</dc:creator>
  <cp:keywords/>
  <dc:description>generated by python-docx</dc:description>
  <cp:lastModifiedBy/>
  <cp:revision>1</cp:revision>
  <dcterms:created xsi:type="dcterms:W3CDTF">2013-12-23T23:15:00Z</dcterms:created>
  <dcterms:modified xsi:type="dcterms:W3CDTF">2013-12-23T23:15:00Z</dcterms:modified>
  <cp:category/>
</cp:coreProperties>
</file>