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77777777" w:rsidR="00381847" w:rsidRPr="001646BD" w:rsidRDefault="00E769D9" w:rsidP="001646BD">
      <w:pPr>
        <w:rPr>
          <w:b/>
          <w:sz w:val="20"/>
          <w:szCs w:val="20"/>
        </w:rPr>
      </w:pPr>
      <w:r>
        <w:t>Green Pace | Secure Development Policy Guide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r>
        <w:rPr>
          <w:sz w:val="24"/>
        </w:rPr>
        <w:br/>
        <w:t>Project One | Prepared by Gurman Dhot | 11 October 2026</w:t>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087315A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421192B6"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7362610"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35EF467"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14:paraId="5CD2DCEC" w14:textId="77777777" w:rsidR="00BC2B54" w:rsidRDefault="00000000">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14:paraId="20722AD8" w14:textId="77777777" w:rsidR="00BC2B54" w:rsidRDefault="00000000">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14:paraId="56E26387" w14:textId="77777777" w:rsidR="00BC2B54" w:rsidRDefault="00000000">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14:paraId="461121B0" w14:textId="77777777" w:rsidR="00BC2B54" w:rsidRDefault="00000000">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14:paraId="1A462924" w14:textId="77777777" w:rsidR="00BC2B54" w:rsidRDefault="00000000">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12</w:t>
            </w:r>
            <w:r w:rsidR="00BC2B54">
              <w:rPr>
                <w:noProof/>
                <w:webHidden/>
              </w:rPr>
              <w:fldChar w:fldCharType="end"/>
            </w:r>
          </w:hyperlink>
        </w:p>
        <w:p w14:paraId="10A51981" w14:textId="77777777" w:rsidR="00BC2B54" w:rsidRDefault="00000000">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28D03205" w14:textId="77777777" w:rsidR="00BC2B54" w:rsidRDefault="00000000">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561BC095" w14:textId="77777777" w:rsidR="00BC2B54" w:rsidRDefault="00000000">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01B7FB02" w14:textId="77777777" w:rsidR="00BC2B54" w:rsidRDefault="00000000">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20</w:t>
            </w:r>
            <w:r w:rsidR="00BC2B54">
              <w:rPr>
                <w:noProof/>
                <w:webHidden/>
              </w:rPr>
              <w:fldChar w:fldCharType="end"/>
            </w:r>
          </w:hyperlink>
        </w:p>
        <w:p w14:paraId="0A253E44" w14:textId="77777777" w:rsidR="00BC2B54" w:rsidRDefault="00000000">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22</w:t>
            </w:r>
            <w:r w:rsidR="00BC2B54">
              <w:rPr>
                <w:noProof/>
                <w:webHidden/>
              </w:rPr>
              <w:fldChar w:fldCharType="end"/>
            </w:r>
          </w:hyperlink>
        </w:p>
        <w:p w14:paraId="51D27592"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24</w:t>
            </w:r>
            <w:r w:rsidR="00BC2B54">
              <w:rPr>
                <w:noProof/>
                <w:webHidden/>
              </w:rPr>
              <w:fldChar w:fldCharType="end"/>
            </w:r>
          </w:hyperlink>
        </w:p>
        <w:p w14:paraId="11F53B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24</w:t>
            </w:r>
            <w:r w:rsidR="00BC2B54">
              <w:rPr>
                <w:noProof/>
                <w:webHidden/>
              </w:rPr>
              <w:fldChar w:fldCharType="end"/>
            </w:r>
          </w:hyperlink>
        </w:p>
        <w:p w14:paraId="0800DCA9"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24</w:t>
            </w:r>
            <w:r w:rsidR="00BC2B54">
              <w:rPr>
                <w:noProof/>
                <w:webHidden/>
              </w:rPr>
              <w:fldChar w:fldCharType="end"/>
            </w:r>
          </w:hyperlink>
        </w:p>
        <w:p w14:paraId="241DF891"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24</w:t>
            </w:r>
            <w:r w:rsidR="00BC2B54">
              <w:rPr>
                <w:noProof/>
                <w:webHidden/>
              </w:rPr>
              <w:fldChar w:fldCharType="end"/>
            </w:r>
          </w:hyperlink>
        </w:p>
        <w:p w14:paraId="2CD59CDB"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24</w:t>
            </w:r>
            <w:r w:rsidR="00BC2B54">
              <w:rPr>
                <w:noProof/>
                <w:webHidden/>
              </w:rPr>
              <w:fldChar w:fldCharType="end"/>
            </w:r>
          </w:hyperlink>
        </w:p>
        <w:p w14:paraId="19EF50A8"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24</w:t>
            </w:r>
            <w:r w:rsidR="00BC2B54">
              <w:rPr>
                <w:noProof/>
                <w:webHidden/>
              </w:rPr>
              <w:fldChar w:fldCharType="end"/>
            </w:r>
          </w:hyperlink>
        </w:p>
        <w:p w14:paraId="0CF6015F"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25</w:t>
            </w:r>
            <w:r w:rsidR="00BC2B54">
              <w:rPr>
                <w:noProof/>
                <w:webHidden/>
              </w:rPr>
              <w:fldChar w:fldCharType="end"/>
            </w:r>
          </w:hyperlink>
        </w:p>
        <w:p w14:paraId="549F3FCD"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26</w:t>
            </w:r>
            <w:r w:rsidR="00BC2B54">
              <w:rPr>
                <w:noProof/>
                <w:webHidden/>
              </w:rPr>
              <w:fldChar w:fldCharType="end"/>
            </w:r>
          </w:hyperlink>
        </w:p>
        <w:p w14:paraId="7C5F6E57"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27</w:t>
            </w:r>
            <w:r w:rsidR="00BC2B54">
              <w:rPr>
                <w:noProof/>
                <w:webHidden/>
              </w:rPr>
              <w:fldChar w:fldCharType="end"/>
            </w:r>
          </w:hyperlink>
        </w:p>
        <w:p w14:paraId="7418FBC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28</w:t>
            </w:r>
            <w:r w:rsidR="00BC2B54">
              <w:rPr>
                <w:noProof/>
                <w:webHidden/>
              </w:rPr>
              <w:fldChar w:fldCharType="end"/>
            </w:r>
          </w:hyperlink>
        </w:p>
        <w:p w14:paraId="7D7F40ED"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28</w:t>
            </w:r>
            <w:r w:rsidR="00BC2B54">
              <w:rPr>
                <w:noProof/>
                <w:webHidden/>
              </w:rPr>
              <w:fldChar w:fldCharType="end"/>
            </w:r>
          </w:hyperlink>
        </w:p>
        <w:p w14:paraId="15EAC341"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28</w:t>
            </w:r>
            <w:r w:rsidR="00BC2B54">
              <w:rPr>
                <w:noProof/>
                <w:webHidden/>
              </w:rPr>
              <w:fldChar w:fldCharType="end"/>
            </w:r>
          </w:hyperlink>
        </w:p>
        <w:p w14:paraId="6A515187"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29</w:t>
            </w:r>
            <w:r w:rsidR="00BC2B54">
              <w:rPr>
                <w:noProof/>
                <w:webHidden/>
              </w:rPr>
              <w:fldChar w:fldCharType="end"/>
            </w:r>
          </w:hyperlink>
        </w:p>
        <w:p w14:paraId="4CB19BBB"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29</w:t>
            </w:r>
            <w:r w:rsidR="00BC2B54">
              <w:rPr>
                <w:noProof/>
                <w:webHidden/>
              </w:rPr>
              <w:fldChar w:fldCharType="end"/>
            </w:r>
          </w:hyperlink>
        </w:p>
        <w:p w14:paraId="54B04028"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29</w:t>
            </w:r>
            <w:r w:rsidR="00BC2B54">
              <w:rPr>
                <w:noProof/>
                <w:webHidden/>
              </w:rPr>
              <w:fldChar w:fldCharType="end"/>
            </w:r>
          </w:hyperlink>
        </w:p>
        <w:p w14:paraId="089A159A"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29</w:t>
            </w:r>
            <w:r w:rsidR="00BC2B54">
              <w:rPr>
                <w:noProof/>
                <w:webHidden/>
              </w:rPr>
              <w:fldChar w:fldCharType="end"/>
            </w:r>
          </w:hyperlink>
        </w:p>
        <w:p w14:paraId="1A3B6AF9"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29</w:t>
            </w:r>
            <w:r w:rsidR="00BC2B54">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p>
      <w:pPr>
        <w:spacing w:after="100"/>
      </w:pPr>
      <w:r>
        <w:t>Reference framework: SEI CERT C++ secure coding guidance (including relevant CERT C rules), applied as Green Pace engineering requirements.</w:t>
      </w:r>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2542"/>
        <w:gridCol w:w="8238"/>
      </w:tblGrid>
      <w:tr w:rsidR="00381847" w14:paraId="110402A3" w14:textId="77777777" w:rsidTr="00001F14">
        <w:trPr>
          <w:tblHeader/>
          <w:tblHeader w:val="true"/>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
              <w:rPr>
                <w:b/>
                <w:sz w:val="20"/>
              </w:rPr>
              <w:t>Green Pace security principle and practical application</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vAlign w:val="center"/>
          </w:tcPr>
          <w:p>
            <w:pPr>
              <w:spacing w:before="0" w:after="0"/>
            </w:pPr>
            <w:r/>
            <w:r>
              <w:rPr>
                <w:rFonts w:ascii="Arial" w:hAnsi="Arial"/>
                <w:b w:val="0"/>
                <w:sz w:val="21"/>
              </w:rPr>
              <w:t>Treat data from users, files, networks, APIs, and other external sources as untrusted. Validate type, length, range, format, and allowed values before the data is processed, and reject invalid input early so it cannot become a security problem later.</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vAlign w:val="center"/>
          </w:tcPr>
          <w:p>
            <w:pPr>
              <w:spacing w:before="0" w:after="0"/>
            </w:pPr>
            <w:r/>
            <w:r>
              <w:rPr>
                <w:rFonts w:ascii="Arial" w:hAnsi="Arial"/>
                <w:b w:val="0"/>
                <w:sz w:val="21"/>
              </w:rPr>
              <w:t>Compile with a strong warning level and investigate warnings instead of automatically suppressing them. Warnings can reveal risky conversions, uninitialized values, unreachable code, and other defects that may become vulnerabilities.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vAlign w:val="center"/>
          </w:tcPr>
          <w:p>
            <w:pPr>
              <w:spacing w:before="0" w:after="0"/>
            </w:pPr>
            <w:r/>
            <w:r>
              <w:rPr>
                <w:rFonts w:ascii="Arial" w:hAnsi="Arial"/>
                <w:b w:val="0"/>
                <w:sz w:val="21"/>
              </w:rPr>
              <w:t>Security should be part of the design rather than a feature added at the end. Define trust boundaries, authentication and authorization rules, error handling, data protection, and expected failure behavior before implementation begins.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vAlign w:val="center"/>
          </w:tcPr>
          <w:p>
            <w:pPr>
              <w:spacing w:before="0" w:after="0"/>
            </w:pPr>
            <w:r/>
            <w:r>
              <w:rPr>
                <w:rFonts w:ascii="Arial" w:hAnsi="Arial"/>
                <w:b w:val="0"/>
                <w:sz w:val="21"/>
              </w:rPr>
              <w:t>Prefer the simplest design that safely meets the requirement. Smaller, clearer code has fewer unexpected execution paths, is easier to review and test, and gives security defects fewer places to hide.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vAlign w:val="center"/>
          </w:tcPr>
          <w:p>
            <w:pPr>
              <w:spacing w:before="0" w:after="0"/>
            </w:pPr>
            <w:r/>
            <w:r>
              <w:rPr>
                <w:rFonts w:ascii="Arial" w:hAnsi="Arial"/>
                <w:b w:val="0"/>
                <w:sz w:val="21"/>
              </w:rPr>
              <w:t>When access has not been explicitly permitted, the system should deny it by default. Secure defaults reduce the chance that a missing rule, configuration mistake, or new feature accidentally grants access.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vAlign w:val="center"/>
          </w:tcPr>
          <w:p>
            <w:pPr>
              <w:spacing w:before="0" w:after="0"/>
            </w:pPr>
            <w:r/>
            <w:r>
              <w:rPr>
                <w:rFonts w:ascii="Arial" w:hAnsi="Arial"/>
                <w:b w:val="0"/>
                <w:sz w:val="21"/>
              </w:rPr>
              <w:t>Give users, processes, services, and code only the permissions they need to perform their required task. Limiting privilege reduces the damage that can occur if an account, component, or process is compromised.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vAlign w:val="center"/>
          </w:tcPr>
          <w:p>
            <w:pPr>
              <w:spacing w:before="0" w:after="0"/>
            </w:pPr>
            <w:r/>
            <w:r>
              <w:rPr>
                <w:rFonts w:ascii="Arial" w:hAnsi="Arial"/>
                <w:b w:val="0"/>
                <w:sz w:val="21"/>
              </w:rPr>
              <w:t>Before sending data to another interpreter or system, encode, escape, or parameterize it for that destination. Destination-aware handling helps prevent untrusted data from being interpreted as commands, markup, SQL, or another executable instruction.</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vAlign w:val="center"/>
          </w:tcPr>
          <w:p>
            <w:pPr>
              <w:spacing w:before="0" w:after="0"/>
            </w:pPr>
            <w:r/>
            <w:r>
              <w:rPr>
                <w:rFonts w:ascii="Arial" w:hAnsi="Arial"/>
                <w:b w:val="0"/>
                <w:sz w:val="21"/>
              </w:rPr>
              <w:t>Use multiple independent security controls so that one failed safeguard does not expose the entire system. Validation, authentication, least privilege, safe APIs, monitoring, and secure error handling should reinforce one another.</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vAlign w:val="center"/>
          </w:tcPr>
          <w:p>
            <w:pPr>
              <w:spacing w:before="0" w:after="0"/>
            </w:pPr>
            <w:r/>
            <w:r>
              <w:rPr>
                <w:rFonts w:ascii="Arial" w:hAnsi="Arial"/>
                <w:b w:val="0"/>
                <w:sz w:val="21"/>
              </w:rPr>
              <w:t>Use code review, automated tests, static analysis, dynamic testing, fuzzing, and regression testing to find defects before release. Security-sensitive changes should be tested for both expected behavior and failure cases.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vAlign w:val="center"/>
          </w:tcPr>
          <w:p>
            <w:pPr>
              <w:spacing w:before="0" w:after="0"/>
            </w:pPr>
            <w:r/>
            <w:r>
              <w:rPr>
                <w:rFonts w:ascii="Arial" w:hAnsi="Arial"/>
                <w:b w:val="0"/>
                <w:sz w:val="21"/>
              </w:rPr>
              <w:t>A shared secure coding standard gives developers a consistent baseline for writing, reviewing, and maintaining code. It also makes security expectations easier to teach, automate, audit, and apply across the development lifecycle.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rPr>
          <w:sz w:val="20"/>
        </w:rPr>
        <w:t>The following ten internally numbered C/C++ standards establish required secure-development behavior at Green Pace. Each entry includes a rationale, an unsafe example, a safer alternative, an applicable security-principle mapping, a preliminary risk assessment, and proposed automated detection. The examples are illustrative code excerpts and must be adapted to production interfaces before use.</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blHeader w:val="true"/>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pPr>
            <w:r/>
            <w:r>
              <w:rPr>
                <w:rFonts w:ascii="Arial" w:hAnsi="Arial"/>
                <w:b/>
                <w:sz w:val="21"/>
              </w:rPr>
              <w:t>Data Type</w:t>
            </w:r>
          </w:p>
        </w:tc>
        <w:tc>
          <w:tcPr>
            <w:tcW w:w="1341" w:type="dxa"/>
            <w:tcMar>
              <w:top w:w="100" w:type="dxa"/>
              <w:left w:w="100" w:type="dxa"/>
              <w:bottom w:w="100" w:type="dxa"/>
              <w:right w:w="100" w:type="dxa"/>
            </w:tcMar>
            <w:vAlign w:val="center"/>
          </w:tcPr>
          <w:p>
            <w:pPr>
              <w:spacing w:before="0" w:after="0"/>
            </w:pPr>
            <w:r/>
            <w:r>
              <w:rPr>
                <w:rFonts w:ascii="Arial" w:hAnsi="Arial"/>
                <w:b w:val="0"/>
                <w:sz w:val="21"/>
              </w:rPr>
              <w:t>STD-001-CPP</w:t>
            </w:r>
          </w:p>
        </w:tc>
        <w:tc>
          <w:tcPr>
            <w:tcW w:w="7632" w:type="dxa"/>
            <w:tcMar>
              <w:top w:w="100" w:type="dxa"/>
              <w:left w:w="100" w:type="dxa"/>
              <w:bottom w:w="100" w:type="dxa"/>
              <w:right w:w="100" w:type="dxa"/>
            </w:tcMar>
            <w:vAlign w:val="top"/>
          </w:tcPr>
          <w:p>
            <w:pPr>
              <w:spacing w:before="0" w:after="60"/>
            </w:pPr>
            <w:r/>
            <w:r>
              <w:rPr>
                <w:rFonts w:ascii="Arial" w:hAnsi="Arial"/>
                <w:b/>
                <w:sz w:val="21"/>
              </w:rPr>
              <w:t>INT31-C (applies to C++): Prevent lossy or misinterpreted integer conversions</w:t>
            </w:r>
          </w:p>
          <w:p>
            <w:pPr>
              <w:spacing w:before="0" w:after="0"/>
            </w:pPr>
            <w:r>
              <w:rPr>
                <w:rFonts w:ascii="Arial" w:hAnsi="Arial"/>
                <w:b/>
                <w:sz w:val="20"/>
              </w:rPr>
              <w:t xml:space="preserve">Rationale: </w:t>
            </w:r>
            <w:r>
              <w:rPr>
                <w:rFonts w:ascii="Arial" w:hAnsi="Arial"/>
                <w:sz w:val="20"/>
              </w:rPr>
              <w:t>Narrowing or signed/unsigned conversions can silently change a value and create incorrect sizes, indexes, or decisions. Validate the value against the destination type before converting it.</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58969761" w14:textId="77777777" w:rsidTr="00001F14">
        <w:trPr>
          <w:trHeight w:val="26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The input is converted directly to an unsigned byte. A negative value or a value above 255 can be changed during conversion, so the stored permission level may not match the user's actual input.</w:t>
            </w:r>
          </w:p>
        </w:tc>
      </w:tr>
      <w:tr w:rsidR="00F72634" w14:paraId="5B8614A1"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int rawLevel = readLevel();</w:t>
              <w:br/>
              <w:t>unsigned char level =</w:t>
              <w:br/>
              <w:t xml:space="preserve">    static_cast&lt;unsigned char&gt;(rawLevel);</w:t>
              <w:br/>
              <w:t>useLevel(level);</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761EDF10" w14:textId="77777777" w:rsidTr="00001F14">
        <w:trPr>
          <w:trHeight w:val="8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The value is checked against the complete range of the destination type before the cast. Only representable values are converted and used.</w:t>
            </w:r>
          </w:p>
        </w:tc>
      </w:tr>
      <w:tr w:rsidR="00F72634" w14:paraId="4EAB134E"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#include &lt;limits&gt;</w:t>
              <w:br/>
              <w:br/>
              <w:t>int rawLevel = readLevel();</w:t>
              <w:br/>
              <w:t>if (rawLevel &lt; 0 ||</w:t>
              <w:br/>
              <w:t xml:space="preserve">    rawLevel &gt; std::numeric_limits&lt;unsigned char&gt;::max()) {</w:t>
              <w:br/>
              <w:t xml:space="preserve">    rejectInput();</w:t>
              <w:br/>
              <w:t>} else {</w:t>
              <w:br/>
              <w:t xml:space="preserve">    auto level = static_cast&lt;unsigned char&gt;(rawLevel);</w:t>
              <w:br/>
              <w:t xml:space="preserve">    useLevel(level);</w:t>
              <w:br/>
              <w:t>}</w:t>
            </w:r>
          </w:p>
        </w:tc>
      </w:tr>
    </w:tbl>
    <w:p w14:paraId="14107C1E"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780"/>
      </w:tblGrid>
      <w:tr w:rsidR="00B475A1" w14:paraId="58875715" w14:textId="77777777" w:rsidTr="006D38A7">
        <w:trPr>
          <w:tblHeader/>
          <w:tblHeader w:val="true"/>
        </w:trPr>
        <w:tc>
          <w:tcPr>
            <w:tcW w:w="10780" w:type="dxa"/>
            <w:shd w:val="clear" w:color="auto" w:fill="auto"/>
            <w:tcMar>
              <w:top w:w="100" w:type="dxa"/>
              <w:left w:w="100" w:type="dxa"/>
              <w:bottom w:w="100" w:type="dxa"/>
              <w:right w:w="100" w:type="dxa"/>
            </w:tcMar>
            <w:vAlign w:val="center"/>
          </w:tcPr>
          <w:p>
            <w:pPr>
              <w:spacing w:before="40" w:after="40" w:line="259" w:lineRule="auto"/>
            </w:pPr>
            <w:r/>
            <w:r>
              <w:rPr>
                <w:rFonts w:ascii="Aptos" w:hAnsi="Aptos"/>
                <w:b w:val="0"/>
                <w:sz w:val="18"/>
              </w:rPr>
              <w:t>Principle mapping: 1 (Validate Input Data), 2 (Heed Compiler Warnings), and 10 (Adopt a Secure Coding Standard): Verify external values before narrowing casts; compiler conversion warnings and a shared conversion policy help prevent silently altered permissions, sizes, or indexes.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blHeader w:val="true"/>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vAlign w:val="center"/>
          </w:tcPr>
          <w:p>
            <w:pPr>
              <w:spacing w:before="40" w:after="40" w:line="259" w:lineRule="auto"/>
            </w:pPr>
            <w:r/>
            <w:r>
              <w:rPr>
                <w:rFonts w:ascii="Aptos" w:hAnsi="Aptos"/>
                <w:b w:val="0"/>
                <w:sz w:val="17"/>
              </w:rPr>
              <w:t>High</w:t>
            </w:r>
          </w:p>
        </w:tc>
        <w:tc>
          <w:tcPr>
            <w:tcW w:w="1341" w:type="dxa"/>
            <w:shd w:val="clear" w:color="auto" w:fill="auto"/>
            <w:vAlign w:val="center"/>
          </w:tcPr>
          <w:p>
            <w:pPr>
              <w:spacing w:before="40" w:after="40" w:line="259" w:lineRule="auto"/>
            </w:pPr>
            <w:r/>
            <w:r>
              <w:rPr>
                <w:rFonts w:ascii="Aptos" w:hAnsi="Aptos"/>
                <w:b w:val="0"/>
                <w:sz w:val="17"/>
              </w:rPr>
              <w:t>Possible</w:t>
            </w:r>
          </w:p>
        </w:tc>
        <w:tc>
          <w:tcPr>
            <w:tcW w:w="4021" w:type="dxa"/>
            <w:shd w:val="clear" w:color="auto" w:fill="auto"/>
            <w:vAlign w:val="center"/>
          </w:tcPr>
          <w:p>
            <w:pPr>
              <w:spacing w:before="40" w:after="40" w:line="259" w:lineRule="auto"/>
            </w:pPr>
            <w:r/>
            <w:r>
              <w:rPr>
                <w:rFonts w:ascii="Aptos" w:hAnsi="Aptos"/>
                <w:b w:val="0"/>
                <w:sz w:val="17"/>
              </w:rPr>
              <w:t>Low</w:t>
            </w:r>
          </w:p>
        </w:tc>
        <w:tc>
          <w:tcPr>
            <w:tcW w:w="1807" w:type="dxa"/>
            <w:shd w:val="clear" w:color="auto" w:fill="auto"/>
            <w:vAlign w:val="center"/>
          </w:tcPr>
          <w:p>
            <w:pPr>
              <w:spacing w:before="40" w:after="40" w:line="259" w:lineRule="auto"/>
            </w:pPr>
            <w:r/>
            <w:r>
              <w:rPr>
                <w:rFonts w:ascii="Aptos" w:hAnsi="Aptos"/>
                <w:b w:val="0"/>
                <w:sz w:val="17"/>
              </w:rPr>
              <w:t>High</w:t>
            </w:r>
          </w:p>
        </w:tc>
        <w:tc>
          <w:tcPr>
            <w:tcW w:w="1805" w:type="dxa"/>
            <w:shd w:val="clear" w:color="auto" w:fill="auto"/>
            <w:vAlign w:val="center"/>
          </w:tcPr>
          <w:p>
            <w:pPr>
              <w:spacing w:before="40" w:after="40" w:line="259" w:lineRule="auto"/>
            </w:pPr>
            <w:r/>
            <w:r>
              <w:rPr>
                <w:rFonts w:ascii="Aptos" w:hAnsi="Aptos"/>
                <w:b w:val="0"/>
                <w:sz w:val="17"/>
              </w:rP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cantSplit/>
          <w:tblHeader w:val="true"/>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clang-tidy</w:t>
            </w:r>
          </w:p>
        </w:tc>
        <w:tc>
          <w:tcPr>
            <w:tcW w:w="1341" w:type="dxa"/>
            <w:shd w:val="clear" w:color="auto" w:fill="auto"/>
            <w:vAlign w:val="center"/>
          </w:tcPr>
          <w:p>
            <w:pPr>
              <w:spacing w:before="40" w:after="40" w:line="259" w:lineRule="auto"/>
            </w:pPr>
            <w:r/>
            <w:r>
              <w:rPr>
                <w:rFonts w:ascii="Aptos" w:hAnsi="Aptos"/>
                <w:b w:val="0"/>
                <w:sz w:val="16"/>
              </w:rPr>
              <w:t>18.1.8</w:t>
            </w:r>
          </w:p>
        </w:tc>
        <w:tc>
          <w:tcPr>
            <w:tcW w:w="4021" w:type="dxa"/>
            <w:shd w:val="clear" w:color="auto" w:fill="auto"/>
            <w:vAlign w:val="center"/>
          </w:tcPr>
          <w:p>
            <w:pPr>
              <w:spacing w:before="40" w:after="40" w:line="259" w:lineRule="auto"/>
            </w:pPr>
            <w:r/>
            <w:r>
              <w:rPr>
                <w:rFonts w:ascii="Aptos" w:hAnsi="Aptos"/>
                <w:b w:val="0"/>
                <w:sz w:val="16"/>
              </w:rPr>
              <w:t>bugprone-narrowing-conversions</w:t>
            </w:r>
          </w:p>
        </w:tc>
        <w:tc>
          <w:tcPr>
            <w:tcW w:w="3611" w:type="dxa"/>
            <w:shd w:val="clear" w:color="auto" w:fill="auto"/>
            <w:vAlign w:val="center"/>
          </w:tcPr>
          <w:p>
            <w:pPr>
              <w:spacing w:before="40" w:after="40" w:line="259" w:lineRule="auto"/>
            </w:pPr>
            <w:r/>
            <w:r>
              <w:rPr>
                <w:rFonts w:ascii="Aptos" w:hAnsi="Aptos"/>
                <w:b w:val="0"/>
                <w:sz w:val="16"/>
              </w:rPr>
              <w:t>Flags many implicit lossy conversions; explicit casts still require range-check review.</w:t>
            </w:r>
          </w:p>
        </w:tc>
      </w:tr>
      <w:tr w:rsidR="00B475A1" w14:paraId="39933CAB"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GCC</w:t>
            </w:r>
          </w:p>
        </w:tc>
        <w:tc>
          <w:tcPr>
            <w:tcW w:w="1341" w:type="dxa"/>
            <w:shd w:val="clear" w:color="auto" w:fill="auto"/>
            <w:vAlign w:val="center"/>
          </w:tcPr>
          <w:p>
            <w:pPr>
              <w:spacing w:before="40" w:after="40" w:line="259" w:lineRule="auto"/>
            </w:pPr>
            <w:r/>
            <w:r>
              <w:rPr>
                <w:rFonts w:ascii="Aptos" w:hAnsi="Aptos"/>
                <w:b w:val="0"/>
                <w:sz w:val="16"/>
              </w:rPr>
              <w:t>14.2</w:t>
            </w:r>
          </w:p>
        </w:tc>
        <w:tc>
          <w:tcPr>
            <w:tcW w:w="4021" w:type="dxa"/>
            <w:shd w:val="clear" w:color="auto" w:fill="auto"/>
            <w:vAlign w:val="center"/>
          </w:tcPr>
          <w:p>
            <w:pPr>
              <w:spacing w:before="40" w:after="40" w:line="259" w:lineRule="auto"/>
            </w:pPr>
            <w:r/>
            <w:r>
              <w:rPr>
                <w:rFonts w:ascii="Aptos" w:hAnsi="Aptos"/>
                <w:b w:val="0"/>
                <w:sz w:val="16"/>
              </w:rPr>
              <w:t>-Wconversion; -Wsign-conversion</w:t>
            </w:r>
          </w:p>
        </w:tc>
        <w:tc>
          <w:tcPr>
            <w:tcW w:w="3611" w:type="dxa"/>
            <w:shd w:val="clear" w:color="auto" w:fill="auto"/>
            <w:vAlign w:val="center"/>
          </w:tcPr>
          <w:p>
            <w:pPr>
              <w:spacing w:before="40" w:after="40" w:line="259" w:lineRule="auto"/>
            </w:pPr>
            <w:r/>
            <w:r>
              <w:rPr>
                <w:rFonts w:ascii="Aptos" w:hAnsi="Aptos"/>
                <w:b w:val="0"/>
                <w:sz w:val="16"/>
              </w:rPr>
              <w:t>Compiler warnings during build catch narrowing and sign changes; do not suppress without review.</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blHeader w:val="true"/>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pPr>
            <w:r/>
            <w:r>
              <w:rPr>
                <w:rFonts w:ascii="Arial" w:hAnsi="Arial"/>
                <w:b/>
                <w:sz w:val="21"/>
              </w:rPr>
              <w:t>Data Value</w:t>
            </w:r>
          </w:p>
        </w:tc>
        <w:tc>
          <w:tcPr>
            <w:tcW w:w="1341" w:type="dxa"/>
            <w:tcMar>
              <w:top w:w="100" w:type="dxa"/>
              <w:left w:w="100" w:type="dxa"/>
              <w:bottom w:w="100" w:type="dxa"/>
              <w:right w:w="100" w:type="dxa"/>
            </w:tcMar>
            <w:vAlign w:val="center"/>
          </w:tcPr>
          <w:p>
            <w:pPr>
              <w:spacing w:before="0" w:after="0"/>
            </w:pPr>
            <w:r/>
            <w:r>
              <w:rPr>
                <w:rFonts w:ascii="Arial" w:hAnsi="Arial"/>
                <w:b w:val="0"/>
                <w:sz w:val="21"/>
              </w:rPr>
              <w:t>STD-002-CPP</w:t>
            </w:r>
          </w:p>
        </w:tc>
        <w:tc>
          <w:tcPr>
            <w:tcW w:w="7632" w:type="dxa"/>
            <w:tcMar>
              <w:top w:w="100" w:type="dxa"/>
              <w:left w:w="100" w:type="dxa"/>
              <w:bottom w:w="100" w:type="dxa"/>
              <w:right w:w="100" w:type="dxa"/>
            </w:tcMar>
            <w:vAlign w:val="top"/>
          </w:tcPr>
          <w:p>
            <w:pPr>
              <w:spacing w:before="0" w:after="60"/>
            </w:pPr>
            <w:r/>
            <w:r>
              <w:rPr>
                <w:rFonts w:ascii="Arial" w:hAnsi="Arial"/>
                <w:b/>
                <w:sz w:val="21"/>
              </w:rPr>
              <w:t>EXP53-CPP: Do not read uninitialized memory</w:t>
            </w:r>
          </w:p>
          <w:p>
            <w:pPr>
              <w:spacing w:before="0" w:after="0"/>
            </w:pPr>
            <w:r>
              <w:rPr>
                <w:rFonts w:ascii="Arial" w:hAnsi="Arial"/>
                <w:b/>
                <w:sz w:val="20"/>
              </w:rPr>
              <w:t xml:space="preserve">Rationale: </w:t>
            </w:r>
            <w:r>
              <w:rPr>
                <w:rFonts w:ascii="Arial" w:hAnsi="Arial"/>
                <w:sz w:val="20"/>
              </w:rPr>
              <w:t>An uninitialized object contains an indeterminate value, and reading it can produce undefined or unpredictable behavior. Initialize variables before every possible use.</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61784005" w14:textId="77777777" w:rsidTr="00001F14">
        <w:trPr>
          <w:trHeight w:val="26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The discount variable is assigned only when the customer is a VIP. If the condition is false, the later calculation reads an uninitialized value.</w:t>
            </w:r>
          </w:p>
        </w:tc>
      </w:tr>
      <w:tr w:rsidR="00F72634" w14:paraId="347ECF59"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int discount;</w:t>
              <w:br/>
              <w:t>if (isVip) {</w:t>
              <w:br/>
              <w:t xml:space="preserve">    discount = 20;</w:t>
              <w:br/>
              <w:t>}</w:t>
              <w:br/>
              <w:t>total -= discount;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53ACD8A1" w14:textId="77777777" w:rsidTr="00001F14">
        <w:trPr>
          <w:trHeight w:val="8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The variable begins with a safe default value, so every execution path uses a defined value.</w:t>
            </w:r>
          </w:p>
        </w:tc>
      </w:tr>
      <w:tr w:rsidR="00F72634" w14:paraId="71761811"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int discount = 0;</w:t>
              <w:br/>
              <w:t>if (isVip) {</w:t>
              <w:br/>
              <w:t xml:space="preserve">    discount = 20;</w:t>
              <w:br/>
              <w:t>}</w:t>
              <w:br/>
              <w:t>total -= discount;</w:t>
            </w:r>
          </w:p>
        </w:tc>
      </w:tr>
    </w:tbl>
    <w:p w14:paraId="5A8644E7"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780"/>
      </w:tblGrid>
      <w:tr w:rsidR="00B475A1" w14:paraId="5BCE5ED8" w14:textId="77777777" w:rsidTr="006D38A7">
        <w:trPr>
          <w:tblHeader/>
          <w:tblHeader w:val="true"/>
        </w:trPr>
        <w:tc>
          <w:tcPr>
            <w:tcW w:w="10780" w:type="dxa"/>
            <w:shd w:val="clear" w:color="auto" w:fill="auto"/>
            <w:tcMar>
              <w:top w:w="100" w:type="dxa"/>
              <w:left w:w="100" w:type="dxa"/>
              <w:bottom w:w="100" w:type="dxa"/>
              <w:right w:w="100" w:type="dxa"/>
            </w:tcMar>
            <w:vAlign w:val="center"/>
          </w:tcPr>
          <w:p>
            <w:pPr>
              <w:spacing w:before="40" w:after="40" w:line="259" w:lineRule="auto"/>
            </w:pPr>
            <w:r/>
            <w:r>
              <w:rPr>
                <w:rFonts w:ascii="Aptos" w:hAnsi="Aptos"/>
                <w:b w:val="0"/>
                <w:sz w:val="18"/>
              </w:rPr>
              <w:t>Principle mapping: 2 (Heed Compiler Warnings), 9 (Use Effective Quality Assurance Techniques), and 10 (Adopt a Secure Coding Standard): Treat uninitialized-use warnings as build failures and exercise both branches so values are initialized on every execution path.</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blHeader w:val="true"/>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vAlign w:val="center"/>
          </w:tcPr>
          <w:p>
            <w:pPr>
              <w:spacing w:before="40" w:after="40" w:line="259" w:lineRule="auto"/>
            </w:pPr>
            <w:r/>
            <w:r>
              <w:rPr>
                <w:rFonts w:ascii="Aptos" w:hAnsi="Aptos"/>
                <w:b w:val="0"/>
                <w:sz w:val="17"/>
              </w:rPr>
              <w:t>High</w:t>
            </w:r>
          </w:p>
        </w:tc>
        <w:tc>
          <w:tcPr>
            <w:tcW w:w="1341" w:type="dxa"/>
            <w:shd w:val="clear" w:color="auto" w:fill="auto"/>
            <w:vAlign w:val="center"/>
          </w:tcPr>
          <w:p>
            <w:pPr>
              <w:spacing w:before="40" w:after="40" w:line="259" w:lineRule="auto"/>
            </w:pPr>
            <w:r/>
            <w:r>
              <w:rPr>
                <w:rFonts w:ascii="Aptos" w:hAnsi="Aptos"/>
                <w:b w:val="0"/>
                <w:sz w:val="17"/>
              </w:rPr>
              <w:t>Possible</w:t>
            </w:r>
          </w:p>
        </w:tc>
        <w:tc>
          <w:tcPr>
            <w:tcW w:w="4021" w:type="dxa"/>
            <w:shd w:val="clear" w:color="auto" w:fill="auto"/>
            <w:vAlign w:val="center"/>
          </w:tcPr>
          <w:p>
            <w:pPr>
              <w:spacing w:before="40" w:after="40" w:line="259" w:lineRule="auto"/>
            </w:pPr>
            <w:r/>
            <w:r>
              <w:rPr>
                <w:rFonts w:ascii="Aptos" w:hAnsi="Aptos"/>
                <w:b w:val="0"/>
                <w:sz w:val="17"/>
              </w:rPr>
              <w:t>Low</w:t>
            </w:r>
          </w:p>
        </w:tc>
        <w:tc>
          <w:tcPr>
            <w:tcW w:w="1807" w:type="dxa"/>
            <w:shd w:val="clear" w:color="auto" w:fill="auto"/>
            <w:vAlign w:val="center"/>
          </w:tcPr>
          <w:p>
            <w:pPr>
              <w:spacing w:before="40" w:after="40" w:line="259" w:lineRule="auto"/>
            </w:pPr>
            <w:r/>
            <w:r>
              <w:rPr>
                <w:rFonts w:ascii="Aptos" w:hAnsi="Aptos"/>
                <w:b w:val="0"/>
                <w:sz w:val="17"/>
              </w:rPr>
              <w:t>High</w:t>
            </w:r>
          </w:p>
        </w:tc>
        <w:tc>
          <w:tcPr>
            <w:tcW w:w="1805" w:type="dxa"/>
            <w:shd w:val="clear" w:color="auto" w:fill="auto"/>
            <w:vAlign w:val="center"/>
          </w:tcPr>
          <w:p>
            <w:pPr>
              <w:spacing w:before="40" w:after="40" w:line="259" w:lineRule="auto"/>
            </w:pPr>
            <w:r/>
            <w:r>
              <w:rPr>
                <w:rFonts w:ascii="Aptos" w:hAnsi="Aptos"/>
                <w:b w:val="0"/>
                <w:sz w:val="17"/>
              </w:rP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cantSplit/>
          <w:tblHeader w:val="true"/>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Cppcheck</w:t>
            </w:r>
          </w:p>
        </w:tc>
        <w:tc>
          <w:tcPr>
            <w:tcW w:w="1341" w:type="dxa"/>
            <w:shd w:val="clear" w:color="auto" w:fill="auto"/>
            <w:vAlign w:val="center"/>
          </w:tcPr>
          <w:p>
            <w:pPr>
              <w:spacing w:before="40" w:after="40" w:line="259" w:lineRule="auto"/>
            </w:pPr>
            <w:r/>
            <w:r>
              <w:rPr>
                <w:rFonts w:ascii="Aptos" w:hAnsi="Aptos"/>
                <w:b w:val="0"/>
                <w:sz w:val="16"/>
              </w:rPr>
              <w:t>2.16.0</w:t>
            </w:r>
          </w:p>
        </w:tc>
        <w:tc>
          <w:tcPr>
            <w:tcW w:w="4021" w:type="dxa"/>
            <w:shd w:val="clear" w:color="auto" w:fill="auto"/>
            <w:vAlign w:val="center"/>
          </w:tcPr>
          <w:p>
            <w:pPr>
              <w:spacing w:before="40" w:after="40" w:line="259" w:lineRule="auto"/>
            </w:pPr>
            <w:r/>
            <w:r>
              <w:rPr>
                <w:rFonts w:ascii="Aptos" w:hAnsi="Aptos"/>
                <w:b w:val="0"/>
                <w:sz w:val="16"/>
              </w:rPr>
              <w:t>uninitvar; uninitdata</w:t>
            </w:r>
          </w:p>
        </w:tc>
        <w:tc>
          <w:tcPr>
            <w:tcW w:w="3611" w:type="dxa"/>
            <w:shd w:val="clear" w:color="auto" w:fill="auto"/>
            <w:vAlign w:val="center"/>
          </w:tcPr>
          <w:p>
            <w:pPr>
              <w:spacing w:before="40" w:after="40" w:line="259" w:lineRule="auto"/>
            </w:pPr>
            <w:r/>
            <w:r>
              <w:rPr>
                <w:rFonts w:ascii="Aptos" w:hAnsi="Aptos"/>
                <w:b w:val="0"/>
                <w:sz w:val="16"/>
              </w:rPr>
              <w:t>Static checks flag reads of potentially uninitialized local variables or data.</w:t>
            </w:r>
          </w:p>
        </w:tc>
      </w:tr>
      <w:tr w:rsidR="00B475A1" w14:paraId="5FE44A56"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MSVC Code Analysis</w:t>
            </w:r>
          </w:p>
        </w:tc>
        <w:tc>
          <w:tcPr>
            <w:tcW w:w="1341" w:type="dxa"/>
            <w:shd w:val="clear" w:color="auto" w:fill="auto"/>
            <w:vAlign w:val="center"/>
          </w:tcPr>
          <w:p>
            <w:pPr>
              <w:spacing w:before="40" w:after="40" w:line="259" w:lineRule="auto"/>
            </w:pPr>
            <w:r/>
            <w:r>
              <w:rPr>
                <w:rFonts w:ascii="Aptos" w:hAnsi="Aptos"/>
                <w:b w:val="0"/>
                <w:sz w:val="16"/>
              </w:rPr>
              <w:t>VS 2022 17.12</w:t>
            </w:r>
          </w:p>
        </w:tc>
        <w:tc>
          <w:tcPr>
            <w:tcW w:w="4021" w:type="dxa"/>
            <w:shd w:val="clear" w:color="auto" w:fill="auto"/>
            <w:vAlign w:val="center"/>
          </w:tcPr>
          <w:p>
            <w:pPr>
              <w:spacing w:before="40" w:after="40" w:line="259" w:lineRule="auto"/>
            </w:pPr>
            <w:r/>
            <w:r>
              <w:rPr>
                <w:rFonts w:ascii="Aptos" w:hAnsi="Aptos"/>
                <w:b w:val="0"/>
                <w:sz w:val="16"/>
              </w:rPr>
              <w:t>C6001</w:t>
            </w:r>
          </w:p>
        </w:tc>
        <w:tc>
          <w:tcPr>
            <w:tcW w:w="3611" w:type="dxa"/>
            <w:shd w:val="clear" w:color="auto" w:fill="auto"/>
            <w:vAlign w:val="center"/>
          </w:tcPr>
          <w:p>
            <w:pPr>
              <w:spacing w:before="40" w:after="40" w:line="259" w:lineRule="auto"/>
            </w:pPr>
            <w:r/>
            <w:r>
              <w:rPr>
                <w:rFonts w:ascii="Aptos" w:hAnsi="Aptos"/>
                <w:b w:val="0"/>
                <w:sz w:val="16"/>
              </w:rPr>
              <w:t>May report use of uninitialized memory; review all findings before release.</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blHeader w:val="true"/>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pPr>
            <w:r/>
            <w:r>
              <w:rPr>
                <w:rFonts w:ascii="Arial" w:hAnsi="Arial"/>
                <w:b/>
                <w:sz w:val="21"/>
              </w:rPr>
              <w:t>String Correctness</w:t>
            </w:r>
          </w:p>
        </w:tc>
        <w:tc>
          <w:tcPr>
            <w:tcW w:w="1341" w:type="dxa"/>
            <w:tcMar>
              <w:top w:w="100" w:type="dxa"/>
              <w:left w:w="100" w:type="dxa"/>
              <w:bottom w:w="100" w:type="dxa"/>
              <w:right w:w="100" w:type="dxa"/>
            </w:tcMar>
            <w:vAlign w:val="center"/>
          </w:tcPr>
          <w:p>
            <w:pPr>
              <w:spacing w:before="0" w:after="0"/>
            </w:pPr>
            <w:r/>
            <w:r>
              <w:rPr>
                <w:rFonts w:ascii="Arial" w:hAnsi="Arial"/>
                <w:b w:val="0"/>
                <w:sz w:val="21"/>
              </w:rPr>
              <w:t>STD-003-CPP</w:t>
            </w:r>
          </w:p>
        </w:tc>
        <w:tc>
          <w:tcPr>
            <w:tcW w:w="7632" w:type="dxa"/>
            <w:tcMar>
              <w:top w:w="100" w:type="dxa"/>
              <w:left w:w="100" w:type="dxa"/>
              <w:bottom w:w="100" w:type="dxa"/>
              <w:right w:w="100" w:type="dxa"/>
            </w:tcMar>
            <w:vAlign w:val="top"/>
          </w:tcPr>
          <w:p>
            <w:pPr>
              <w:spacing w:before="0" w:after="60"/>
            </w:pPr>
            <w:r/>
            <w:r>
              <w:rPr>
                <w:rFonts w:ascii="Arial" w:hAnsi="Arial"/>
                <w:b/>
                <w:sz w:val="21"/>
              </w:rPr>
              <w:t>STR50-CPP: Guarantee sufficient storage for string data</w:t>
            </w:r>
          </w:p>
          <w:p>
            <w:pPr>
              <w:spacing w:before="0" w:after="0"/>
            </w:pPr>
            <w:r>
              <w:rPr>
                <w:rFonts w:ascii="Arial" w:hAnsi="Arial"/>
                <w:b/>
                <w:sz w:val="20"/>
              </w:rPr>
              <w:t xml:space="preserve">Rationale: </w:t>
            </w:r>
            <w:r>
              <w:rPr>
                <w:rFonts w:ascii="Arial" w:hAnsi="Arial"/>
                <w:sz w:val="20"/>
              </w:rPr>
              <w:t>Writing more characters than a destination can hold may corrupt adjacent memory. Prefer bounds-aware C++ string handling and enforce application length limits before further processing.</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722DEA90" w14:textId="77777777" w:rsidTr="00001F14">
        <w:trPr>
          <w:trHeight w:val="26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Stream input is written into a fixed-size character array without a length limit. A long username can overflow the buffer.</w:t>
            </w:r>
          </w:p>
        </w:tc>
      </w:tr>
      <w:tr w:rsidR="00F72634" w14:paraId="6EF6786D"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char username[8];</w:t>
              <w:br/>
              <w:t>std::cin &gt;&gt; username;</w:t>
              <w:br/>
              <w:t>authenticate(username);</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6C2F0F16" w14:textId="77777777" w:rsidTr="00001F14">
        <w:trPr>
          <w:trHeight w:val="8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A std::string grows to hold the input safely, and the application separately enforces the maximum username length.</w:t>
            </w:r>
          </w:p>
        </w:tc>
      </w:tr>
      <w:tr w:rsidR="00F72634" w14:paraId="1A9D16B4"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std::string username;</w:t>
              <w:br/>
              <w:t>std::getline(std::cin, username);</w:t>
              <w:br/>
              <w:br/>
              <w:t>if (username.size() &gt; 32) {</w:t>
              <w:br/>
              <w:t xml:space="preserve">    rejectInput();</w:t>
              <w:br/>
              <w:t>} else {</w:t>
              <w:br/>
              <w:t xml:space="preserve">    authenticate(username);</w:t>
              <w:br/>
              <w:t>}</w:t>
            </w:r>
          </w:p>
        </w:tc>
      </w:tr>
    </w:tbl>
    <w:p w14:paraId="177CC804"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780"/>
      </w:tblGrid>
      <w:tr w:rsidR="00B475A1" w14:paraId="7109E0CF" w14:textId="77777777" w:rsidTr="006D38A7">
        <w:trPr>
          <w:tblHeader/>
          <w:tblHeader w:val="true"/>
        </w:trPr>
        <w:tc>
          <w:tcPr>
            <w:tcW w:w="10780" w:type="dxa"/>
            <w:shd w:val="clear" w:color="auto" w:fill="auto"/>
            <w:tcMar>
              <w:top w:w="100" w:type="dxa"/>
              <w:left w:w="100" w:type="dxa"/>
              <w:bottom w:w="100" w:type="dxa"/>
              <w:right w:w="100" w:type="dxa"/>
            </w:tcMar>
            <w:vAlign w:val="center"/>
          </w:tcPr>
          <w:p>
            <w:pPr>
              <w:spacing w:before="40" w:after="40" w:line="259" w:lineRule="auto"/>
            </w:pPr>
            <w:r/>
            <w:r>
              <w:rPr>
                <w:rFonts w:ascii="Aptos" w:hAnsi="Aptos"/>
                <w:b w:val="0"/>
                <w:sz w:val="18"/>
              </w:rPr>
              <w:t>Principle mapping: 1 (Validate Input Data), 4 (Keep It Simple), and 9 (Use Effective Quality Assurance Techniques): Prefer std::string and explicit size limits rather than manual buffer accounting; boundary and oversized-input tests confirm safe handling.</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blHeader w:val="true"/>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vAlign w:val="center"/>
          </w:tcPr>
          <w:p>
            <w:pPr>
              <w:spacing w:before="40" w:after="40" w:line="259" w:lineRule="auto"/>
            </w:pPr>
            <w:r/>
            <w:r>
              <w:rPr>
                <w:rFonts w:ascii="Aptos" w:hAnsi="Aptos"/>
                <w:b w:val="0"/>
                <w:sz w:val="17"/>
              </w:rPr>
              <w:t>High</w:t>
            </w:r>
          </w:p>
        </w:tc>
        <w:tc>
          <w:tcPr>
            <w:tcW w:w="1341" w:type="dxa"/>
            <w:shd w:val="clear" w:color="auto" w:fill="auto"/>
            <w:vAlign w:val="center"/>
          </w:tcPr>
          <w:p>
            <w:pPr>
              <w:spacing w:before="40" w:after="40" w:line="259" w:lineRule="auto"/>
            </w:pPr>
            <w:r/>
            <w:r>
              <w:rPr>
                <w:rFonts w:ascii="Aptos" w:hAnsi="Aptos"/>
                <w:b w:val="0"/>
                <w:sz w:val="17"/>
              </w:rPr>
              <w:t>Likely</w:t>
            </w:r>
          </w:p>
        </w:tc>
        <w:tc>
          <w:tcPr>
            <w:tcW w:w="4021" w:type="dxa"/>
            <w:shd w:val="clear" w:color="auto" w:fill="auto"/>
            <w:vAlign w:val="center"/>
          </w:tcPr>
          <w:p>
            <w:pPr>
              <w:spacing w:before="40" w:after="40" w:line="259" w:lineRule="auto"/>
            </w:pPr>
            <w:r/>
            <w:r>
              <w:rPr>
                <w:rFonts w:ascii="Aptos" w:hAnsi="Aptos"/>
                <w:b w:val="0"/>
                <w:sz w:val="17"/>
              </w:rPr>
              <w:t>Medium</w:t>
            </w:r>
          </w:p>
        </w:tc>
        <w:tc>
          <w:tcPr>
            <w:tcW w:w="1807" w:type="dxa"/>
            <w:shd w:val="clear" w:color="auto" w:fill="auto"/>
            <w:vAlign w:val="center"/>
          </w:tcPr>
          <w:p>
            <w:pPr>
              <w:spacing w:before="40" w:after="40" w:line="259" w:lineRule="auto"/>
            </w:pPr>
            <w:r/>
            <w:r>
              <w:rPr>
                <w:rFonts w:ascii="Aptos" w:hAnsi="Aptos"/>
                <w:b w:val="0"/>
                <w:sz w:val="17"/>
              </w:rPr>
              <w:t>High</w:t>
            </w:r>
          </w:p>
        </w:tc>
        <w:tc>
          <w:tcPr>
            <w:tcW w:w="1805" w:type="dxa"/>
            <w:shd w:val="clear" w:color="auto" w:fill="auto"/>
            <w:vAlign w:val="center"/>
          </w:tcPr>
          <w:p>
            <w:pPr>
              <w:spacing w:before="40" w:after="40" w:line="259" w:lineRule="auto"/>
            </w:pPr>
            <w:r/>
            <w:r>
              <w:rPr>
                <w:rFonts w:ascii="Aptos" w:hAnsi="Aptos"/>
                <w:b w:val="0"/>
                <w:sz w:val="17"/>
              </w:rP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cantSplit/>
          <w:tblHeader w:val="true"/>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Cppcheck</w:t>
            </w:r>
          </w:p>
        </w:tc>
        <w:tc>
          <w:tcPr>
            <w:tcW w:w="1341" w:type="dxa"/>
            <w:shd w:val="clear" w:color="auto" w:fill="auto"/>
            <w:vAlign w:val="center"/>
          </w:tcPr>
          <w:p>
            <w:pPr>
              <w:spacing w:before="40" w:after="40" w:line="259" w:lineRule="auto"/>
            </w:pPr>
            <w:r/>
            <w:r>
              <w:rPr>
                <w:rFonts w:ascii="Aptos" w:hAnsi="Aptos"/>
                <w:b w:val="0"/>
                <w:sz w:val="16"/>
              </w:rPr>
              <w:t>2.16.0</w:t>
            </w:r>
          </w:p>
        </w:tc>
        <w:tc>
          <w:tcPr>
            <w:tcW w:w="4021" w:type="dxa"/>
            <w:shd w:val="clear" w:color="auto" w:fill="auto"/>
            <w:vAlign w:val="center"/>
          </w:tcPr>
          <w:p>
            <w:pPr>
              <w:spacing w:before="40" w:after="40" w:line="259" w:lineRule="auto"/>
            </w:pPr>
            <w:r/>
            <w:r>
              <w:rPr>
                <w:rFonts w:ascii="Aptos" w:hAnsi="Aptos"/>
                <w:b w:val="0"/>
                <w:sz w:val="16"/>
              </w:rPr>
              <w:t>bufferAccessOutOfBounds; arrayIndexOutOfBounds</w:t>
            </w:r>
          </w:p>
        </w:tc>
        <w:tc>
          <w:tcPr>
            <w:tcW w:w="3611" w:type="dxa"/>
            <w:shd w:val="clear" w:color="auto" w:fill="auto"/>
            <w:vAlign w:val="center"/>
          </w:tcPr>
          <w:p>
            <w:pPr>
              <w:spacing w:before="40" w:after="40" w:line="259" w:lineRule="auto"/>
            </w:pPr>
            <w:r/>
            <w:r>
              <w:rPr>
                <w:rFonts w:ascii="Aptos" w:hAnsi="Aptos"/>
                <w:b w:val="0"/>
                <w:sz w:val="16"/>
              </w:rPr>
              <w:t>Finds some potential writes beyond fixed storage, depending on data flow.</w:t>
            </w:r>
          </w:p>
        </w:tc>
      </w:tr>
      <w:tr w:rsidR="00B475A1" w14:paraId="21077E8E"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Clang AddressSanitizer</w:t>
            </w:r>
          </w:p>
        </w:tc>
        <w:tc>
          <w:tcPr>
            <w:tcW w:w="1341" w:type="dxa"/>
            <w:shd w:val="clear" w:color="auto" w:fill="auto"/>
            <w:vAlign w:val="center"/>
          </w:tcPr>
          <w:p>
            <w:pPr>
              <w:spacing w:before="40" w:after="40" w:line="259" w:lineRule="auto"/>
            </w:pPr>
            <w:r/>
            <w:r>
              <w:rPr>
                <w:rFonts w:ascii="Aptos" w:hAnsi="Aptos"/>
                <w:b w:val="0"/>
                <w:sz w:val="16"/>
              </w:rPr>
              <w:t>18.1.8</w:t>
            </w:r>
          </w:p>
        </w:tc>
        <w:tc>
          <w:tcPr>
            <w:tcW w:w="4021" w:type="dxa"/>
            <w:shd w:val="clear" w:color="auto" w:fill="auto"/>
            <w:vAlign w:val="center"/>
          </w:tcPr>
          <w:p>
            <w:pPr>
              <w:spacing w:before="40" w:after="40" w:line="259" w:lineRule="auto"/>
            </w:pPr>
            <w:r/>
            <w:r>
              <w:rPr>
                <w:rFonts w:ascii="Aptos" w:hAnsi="Aptos"/>
                <w:b w:val="0"/>
                <w:sz w:val="16"/>
              </w:rPr>
              <w:t>-fsanitize=address</w:t>
            </w:r>
          </w:p>
        </w:tc>
        <w:tc>
          <w:tcPr>
            <w:tcW w:w="3611" w:type="dxa"/>
            <w:shd w:val="clear" w:color="auto" w:fill="auto"/>
            <w:vAlign w:val="center"/>
          </w:tcPr>
          <w:p>
            <w:pPr>
              <w:spacing w:before="40" w:after="40" w:line="259" w:lineRule="auto"/>
            </w:pPr>
            <w:r/>
            <w:r>
              <w:rPr>
                <w:rFonts w:ascii="Aptos" w:hAnsi="Aptos"/>
                <w:b w:val="0"/>
                <w:sz w:val="16"/>
              </w:rPr>
              <w:t>In test executions, identifies many out-of-bounds accesses; does not prove absence of bugs.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blHeader w:val="true"/>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pPr>
            <w:r/>
            <w:r>
              <w:rPr>
                <w:rFonts w:ascii="Arial" w:hAnsi="Arial"/>
                <w:b/>
                <w:sz w:val="21"/>
              </w:rPr>
              <w:t>SQL Injection</w:t>
            </w:r>
          </w:p>
        </w:tc>
        <w:tc>
          <w:tcPr>
            <w:tcW w:w="1341" w:type="dxa"/>
            <w:tcMar>
              <w:top w:w="100" w:type="dxa"/>
              <w:left w:w="100" w:type="dxa"/>
              <w:bottom w:w="100" w:type="dxa"/>
              <w:right w:w="100" w:type="dxa"/>
            </w:tcMar>
            <w:vAlign w:val="center"/>
          </w:tcPr>
          <w:p>
            <w:pPr>
              <w:spacing w:before="0" w:after="0"/>
            </w:pPr>
            <w:r/>
            <w:r>
              <w:rPr>
                <w:rFonts w:ascii="Arial" w:hAnsi="Arial"/>
                <w:b w:val="0"/>
                <w:sz w:val="21"/>
              </w:rPr>
              <w:t>STD-004-CPP</w:t>
            </w:r>
          </w:p>
        </w:tc>
        <w:tc>
          <w:tcPr>
            <w:tcW w:w="7632" w:type="dxa"/>
            <w:tcMar>
              <w:top w:w="100" w:type="dxa"/>
              <w:left w:w="100" w:type="dxa"/>
              <w:bottom w:w="100" w:type="dxa"/>
              <w:right w:w="100" w:type="dxa"/>
            </w:tcMar>
            <w:vAlign w:val="top"/>
          </w:tcPr>
          <w:p>
            <w:pPr>
              <w:spacing w:before="0" w:after="60"/>
            </w:pPr>
            <w:r/>
            <w:r>
              <w:rPr>
                <w:rFonts w:ascii="Arial" w:hAnsi="Arial"/>
                <w:b/>
                <w:sz w:val="21"/>
              </w:rPr>
              <w:t>Use parameterized SQL statements for untrusted values</w:t>
            </w:r>
          </w:p>
          <w:p>
            <w:pPr>
              <w:spacing w:before="0" w:after="0"/>
            </w:pPr>
            <w:r>
              <w:rPr>
                <w:rFonts w:ascii="Arial" w:hAnsi="Arial"/>
                <w:b/>
                <w:sz w:val="20"/>
              </w:rPr>
              <w:t xml:space="preserve">Rationale: </w:t>
            </w:r>
            <w:r>
              <w:rPr>
                <w:rFonts w:ascii="Arial" w:hAnsi="Arial"/>
                <w:sz w:val="20"/>
              </w:rPr>
              <w:t>User-controlled data must remain data instead of becoming part of SQL syntax. Prepared statements with bound parameters prevent input from changing the intended structure of a database command.</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16C074A1" w14:textId="77777777" w:rsidTr="00001F14">
        <w:trPr>
          <w:trHeight w:val="26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The username is concatenated directly into the SQL statement. Crafted input can alter the WHERE clause or inject additional SQL.</w:t>
            </w:r>
          </w:p>
        </w:tc>
      </w:tr>
      <w:tr w:rsidR="00F72634" w14:paraId="555F1178"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std::string sql =</w:t>
              <w:br/>
              <w:t xml:space="preserve">    "SELECT id FROM users WHERE name = '" +</w:t>
              <w:br/>
              <w:t xml:space="preserve">    username + "'";</w:t>
              <w:br/>
              <w:br/>
              <w:t>sqlite3_exec(db, sql.c_str(),</w:t>
              <w:br/>
              <w:t xml:space="preserve">             nullptr, nullptr, nullptr);</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654FE7C6" w14:textId="77777777" w:rsidTr="00001F14">
        <w:trPr>
          <w:trHeight w:val="8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The SQL structure is prepared separately and the username is bound as a parameter, so the database treats it as a value rather than executable SQL.</w:t>
            </w:r>
          </w:p>
        </w:tc>
      </w:tr>
      <w:tr w:rsidR="00F72634" w14:paraId="270FEC8A"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sqlite3_stmt* stmt = nullptr;</w:t>
              <w:br/>
              <w:t>sqlite3_prepare_v2(</w:t>
              <w:br/>
              <w:t xml:space="preserve">    db, "SELECT id FROM users WHERE name = ?1",</w:t>
              <w:br/>
              <w:t xml:space="preserve">    -1, &amp;stmt, nullptr);</w:t>
              <w:br/>
              <w:br/>
              <w:t>sqlite3_bind_text(</w:t>
              <w:br/>
              <w:t xml:space="preserve">    stmt, 1, username.c_str(), -1, SQLITE_TRANSIENT);</w:t>
              <w:br/>
              <w:t>sqlite3_step(stmt);</w:t>
              <w:br/>
              <w:t>sqlite3_finalize(stmt);</w:t>
            </w:r>
          </w:p>
        </w:tc>
      </w:tr>
    </w:tbl>
    <w:p w14:paraId="28F220E8"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780"/>
      </w:tblGrid>
      <w:tr w:rsidR="00B475A1" w14:paraId="12BB78A6" w14:textId="77777777" w:rsidTr="006D38A7">
        <w:trPr>
          <w:tblHeader/>
          <w:tblHeader w:val="true"/>
        </w:trPr>
        <w:tc>
          <w:tcPr>
            <w:tcW w:w="10780" w:type="dxa"/>
            <w:shd w:val="clear" w:color="auto" w:fill="auto"/>
            <w:tcMar>
              <w:top w:w="100" w:type="dxa"/>
              <w:left w:w="100" w:type="dxa"/>
              <w:bottom w:w="100" w:type="dxa"/>
              <w:right w:w="100" w:type="dxa"/>
            </w:tcMar>
            <w:vAlign w:val="center"/>
          </w:tcPr>
          <w:p>
            <w:pPr>
              <w:spacing w:before="40" w:after="40" w:line="259" w:lineRule="auto"/>
            </w:pPr>
            <w:r/>
            <w:r>
              <w:rPr>
                <w:rFonts w:ascii="Aptos" w:hAnsi="Aptos"/>
                <w:b w:val="0"/>
                <w:sz w:val="18"/>
              </w:rPr>
              <w:t>Principle mapping: 1 (Validate Input Data), 5 (Default Deny), 6 (Principle of Least Privilege), and 7 (Sanitize Data Sent to Other Systems): Bind SQL parameters, restrict database accounts to necessary operations, and refuse malformed requests; all three limit the harm of malicious input.</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blHeader w:val="true"/>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vAlign w:val="center"/>
          </w:tcPr>
          <w:p>
            <w:pPr>
              <w:spacing w:before="40" w:after="40" w:line="259" w:lineRule="auto"/>
            </w:pPr>
            <w:r/>
            <w:r>
              <w:rPr>
                <w:rFonts w:ascii="Aptos" w:hAnsi="Aptos"/>
                <w:b w:val="0"/>
                <w:sz w:val="17"/>
              </w:rPr>
              <w:t>High</w:t>
            </w:r>
          </w:p>
        </w:tc>
        <w:tc>
          <w:tcPr>
            <w:tcW w:w="1341" w:type="dxa"/>
            <w:shd w:val="clear" w:color="auto" w:fill="auto"/>
            <w:vAlign w:val="center"/>
          </w:tcPr>
          <w:p>
            <w:pPr>
              <w:spacing w:before="40" w:after="40" w:line="259" w:lineRule="auto"/>
            </w:pPr>
            <w:r/>
            <w:r>
              <w:rPr>
                <w:rFonts w:ascii="Aptos" w:hAnsi="Aptos"/>
                <w:b w:val="0"/>
                <w:sz w:val="17"/>
              </w:rPr>
              <w:t>Likely</w:t>
            </w:r>
          </w:p>
        </w:tc>
        <w:tc>
          <w:tcPr>
            <w:tcW w:w="4021" w:type="dxa"/>
            <w:shd w:val="clear" w:color="auto" w:fill="auto"/>
            <w:vAlign w:val="center"/>
          </w:tcPr>
          <w:p>
            <w:pPr>
              <w:spacing w:before="40" w:after="40" w:line="259" w:lineRule="auto"/>
            </w:pPr>
            <w:r/>
            <w:r>
              <w:rPr>
                <w:rFonts w:ascii="Aptos" w:hAnsi="Aptos"/>
                <w:b w:val="0"/>
                <w:sz w:val="17"/>
              </w:rPr>
              <w:t>Medium</w:t>
            </w:r>
          </w:p>
        </w:tc>
        <w:tc>
          <w:tcPr>
            <w:tcW w:w="1807" w:type="dxa"/>
            <w:shd w:val="clear" w:color="auto" w:fill="auto"/>
            <w:vAlign w:val="center"/>
          </w:tcPr>
          <w:p>
            <w:pPr>
              <w:spacing w:before="40" w:after="40" w:line="259" w:lineRule="auto"/>
            </w:pPr>
            <w:r/>
            <w:r>
              <w:rPr>
                <w:rFonts w:ascii="Aptos" w:hAnsi="Aptos"/>
                <w:b w:val="0"/>
                <w:sz w:val="17"/>
              </w:rPr>
              <w:t>High</w:t>
            </w:r>
          </w:p>
        </w:tc>
        <w:tc>
          <w:tcPr>
            <w:tcW w:w="1805" w:type="dxa"/>
            <w:shd w:val="clear" w:color="auto" w:fill="auto"/>
            <w:vAlign w:val="center"/>
          </w:tcPr>
          <w:p>
            <w:pPr>
              <w:spacing w:before="40" w:after="40" w:line="259" w:lineRule="auto"/>
            </w:pPr>
            <w:r/>
            <w:r>
              <w:rPr>
                <w:rFonts w:ascii="Aptos" w:hAnsi="Aptos"/>
                <w:b w:val="0"/>
                <w:sz w:val="17"/>
              </w:rP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cantSplit/>
          <w:tblHeader w:val="true"/>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CodeQL CLI</w:t>
            </w:r>
          </w:p>
        </w:tc>
        <w:tc>
          <w:tcPr>
            <w:tcW w:w="1341" w:type="dxa"/>
            <w:shd w:val="clear" w:color="auto" w:fill="auto"/>
            <w:vAlign w:val="center"/>
          </w:tcPr>
          <w:p>
            <w:pPr>
              <w:spacing w:before="40" w:after="40" w:line="259" w:lineRule="auto"/>
            </w:pPr>
            <w:r/>
            <w:r>
              <w:rPr>
                <w:rFonts w:ascii="Aptos" w:hAnsi="Aptos"/>
                <w:b w:val="0"/>
                <w:sz w:val="16"/>
              </w:rPr>
              <w:t>2.20.3</w:t>
            </w:r>
          </w:p>
        </w:tc>
        <w:tc>
          <w:tcPr>
            <w:tcW w:w="4021" w:type="dxa"/>
            <w:shd w:val="clear" w:color="auto" w:fill="auto"/>
            <w:vAlign w:val="center"/>
          </w:tcPr>
          <w:p>
            <w:pPr>
              <w:spacing w:before="40" w:after="40" w:line="259" w:lineRule="auto"/>
            </w:pPr>
            <w:r/>
            <w:r>
              <w:rPr>
                <w:rFonts w:ascii="Aptos" w:hAnsi="Aptos"/>
                <w:b w:val="0"/>
                <w:sz w:val="16"/>
              </w:rPr>
              <w:t>cpp/sql-injection</w:t>
            </w:r>
          </w:p>
        </w:tc>
        <w:tc>
          <w:tcPr>
            <w:tcW w:w="3611" w:type="dxa"/>
            <w:shd w:val="clear" w:color="auto" w:fill="auto"/>
            <w:vAlign w:val="center"/>
          </w:tcPr>
          <w:p>
            <w:pPr>
              <w:spacing w:before="40" w:after="40" w:line="259" w:lineRule="auto"/>
            </w:pPr>
            <w:r/>
            <w:r>
              <w:rPr>
                <w:rFonts w:ascii="Aptos" w:hAnsi="Aptos"/>
                <w:b w:val="0"/>
                <w:sz w:val="16"/>
              </w:rPr>
              <w:t>Tracks some user-controlled data into SQL statements; validate coverage for the C++ database library in use.</w:t>
            </w:r>
          </w:p>
        </w:tc>
      </w:tr>
      <w:tr w:rsidR="00B475A1" w14:paraId="631335FB"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Security unit tests</w:t>
            </w:r>
          </w:p>
        </w:tc>
        <w:tc>
          <w:tcPr>
            <w:tcW w:w="1341" w:type="dxa"/>
            <w:shd w:val="clear" w:color="auto" w:fill="auto"/>
            <w:vAlign w:val="center"/>
          </w:tcPr>
          <w:p>
            <w:pPr>
              <w:spacing w:before="40" w:after="40" w:line="259" w:lineRule="auto"/>
            </w:pPr>
            <w:r/>
            <w:r>
              <w:rPr>
                <w:rFonts w:ascii="Aptos" w:hAnsi="Aptos"/>
                <w:b w:val="0"/>
                <w:sz w:val="16"/>
              </w:rPr>
              <w:t>project-defined</w:t>
            </w:r>
          </w:p>
        </w:tc>
        <w:tc>
          <w:tcPr>
            <w:tcW w:w="4021" w:type="dxa"/>
            <w:shd w:val="clear" w:color="auto" w:fill="auto"/>
            <w:vAlign w:val="center"/>
          </w:tcPr>
          <w:p>
            <w:pPr>
              <w:spacing w:before="40" w:after="40" w:line="259" w:lineRule="auto"/>
            </w:pPr>
            <w:r/>
            <w:r>
              <w:rPr>
                <w:rFonts w:ascii="Aptos" w:hAnsi="Aptos"/>
                <w:b w:val="0"/>
                <w:sz w:val="16"/>
              </w:rPr>
              <w:t>parameter-binding tests</w:t>
            </w:r>
          </w:p>
        </w:tc>
        <w:tc>
          <w:tcPr>
            <w:tcW w:w="3611" w:type="dxa"/>
            <w:shd w:val="clear" w:color="auto" w:fill="auto"/>
            <w:vAlign w:val="center"/>
          </w:tcPr>
          <w:p>
            <w:pPr>
              <w:spacing w:before="40" w:after="40" w:line="259" w:lineRule="auto"/>
            </w:pPr>
            <w:r/>
            <w:r>
              <w:rPr>
                <w:rFonts w:ascii="Aptos" w:hAnsi="Aptos"/>
                <w:b w:val="0"/>
                <w:sz w:val="16"/>
              </w:rPr>
              <w:t>Exercise quotes, SQL metacharacters, and unauthorized operations; tests supplement static scans.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blHeader w:val="true"/>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pPr>
            <w:r/>
            <w:r>
              <w:rPr>
                <w:rFonts w:ascii="Arial" w:hAnsi="Arial"/>
                <w:b/>
                <w:sz w:val="21"/>
              </w:rPr>
              <w:t>Memory Protection</w:t>
            </w:r>
          </w:p>
        </w:tc>
        <w:tc>
          <w:tcPr>
            <w:tcW w:w="1341" w:type="dxa"/>
            <w:tcMar>
              <w:top w:w="100" w:type="dxa"/>
              <w:left w:w="100" w:type="dxa"/>
              <w:bottom w:w="100" w:type="dxa"/>
              <w:right w:w="100" w:type="dxa"/>
            </w:tcMar>
            <w:vAlign w:val="center"/>
          </w:tcPr>
          <w:p>
            <w:pPr>
              <w:spacing w:before="0" w:after="0"/>
            </w:pPr>
            <w:r/>
            <w:r>
              <w:rPr>
                <w:rFonts w:ascii="Arial" w:hAnsi="Arial"/>
                <w:b w:val="0"/>
                <w:sz w:val="21"/>
              </w:rPr>
              <w:t>STD-005-CPP</w:t>
            </w:r>
          </w:p>
        </w:tc>
        <w:tc>
          <w:tcPr>
            <w:tcW w:w="7632" w:type="dxa"/>
            <w:tcMar>
              <w:top w:w="100" w:type="dxa"/>
              <w:left w:w="100" w:type="dxa"/>
              <w:bottom w:w="100" w:type="dxa"/>
              <w:right w:w="100" w:type="dxa"/>
            </w:tcMar>
            <w:vAlign w:val="top"/>
          </w:tcPr>
          <w:p>
            <w:pPr>
              <w:spacing w:before="0" w:after="60"/>
            </w:pPr>
            <w:r/>
            <w:r>
              <w:rPr>
                <w:rFonts w:ascii="Arial" w:hAnsi="Arial"/>
                <w:b/>
                <w:sz w:val="21"/>
              </w:rPr>
              <w:t>MEM50-CPP: Do not access freed memory</w:t>
            </w:r>
          </w:p>
          <w:p>
            <w:pPr>
              <w:spacing w:before="0" w:after="0"/>
            </w:pPr>
            <w:r>
              <w:rPr>
                <w:rFonts w:ascii="Arial" w:hAnsi="Arial"/>
                <w:b/>
                <w:sz w:val="20"/>
              </w:rPr>
              <w:t xml:space="preserve">Rationale: </w:t>
            </w:r>
            <w:r>
              <w:rPr>
                <w:rFonts w:ascii="Arial" w:hAnsi="Arial"/>
                <w:sz w:val="20"/>
              </w:rPr>
              <w:t>Pointers become invalid after the storage they reference is released. Using dangling pointers can cause undefined behavior, data corruption, crashes, or exploitable use-after-free conditions.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3E8FEC60" w14:textId="77777777" w:rsidTr="00001F14">
        <w:trPr>
          <w:trHeight w:val="26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The pointer is dereferenced after delete has released the object. The address may now refer to invalid or reused memory.</w:t>
            </w:r>
          </w:p>
        </w:tc>
      </w:tr>
      <w:tr w:rsidR="00F72634" w14:paraId="3267071A"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int* score = new int(42);</w:t>
              <w:br/>
              <w:t>delete score;</w:t>
              <w:br/>
              <w:br/>
              <w:t>std::cout &lt;&lt; *score;</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1D0C1DA1" w14:textId="77777777" w:rsidTr="00001F14">
        <w:trPr>
          <w:trHeight w:val="8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A smart pointer owns the allocation and releases it automatically when the object leaves scope, reducing the chance of stale-pointer use.</w:t>
            </w:r>
          </w:p>
        </w:tc>
      </w:tr>
      <w:tr w:rsidR="00F72634" w14:paraId="7A1A78A0"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#include &lt;memory&gt;</w:t>
              <w:br/>
              <w:br/>
              <w:t>auto score = std::make_unique&lt;int&gt;(42);</w:t>
              <w:br/>
              <w:t>std::cout &lt;&lt; *score;</w:t>
              <w:br/>
              <w:br/>
              <w:t>// Memory is released automatically at scope exit.</w:t>
            </w:r>
          </w:p>
        </w:tc>
      </w:tr>
    </w:tbl>
    <w:p w14:paraId="64928297"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780"/>
      </w:tblGrid>
      <w:tr w:rsidR="00B475A1" w14:paraId="1444568E" w14:textId="77777777" w:rsidTr="006D38A7">
        <w:trPr>
          <w:tblHeader/>
          <w:tblHeader w:val="true"/>
        </w:trPr>
        <w:tc>
          <w:tcPr>
            <w:tcW w:w="10780" w:type="dxa"/>
            <w:shd w:val="clear" w:color="auto" w:fill="auto"/>
            <w:tcMar>
              <w:top w:w="100" w:type="dxa"/>
              <w:left w:w="100" w:type="dxa"/>
              <w:bottom w:w="100" w:type="dxa"/>
              <w:right w:w="100" w:type="dxa"/>
            </w:tcMar>
            <w:vAlign w:val="center"/>
          </w:tcPr>
          <w:p>
            <w:pPr>
              <w:spacing w:before="40" w:after="40" w:line="259" w:lineRule="auto"/>
            </w:pPr>
            <w:r/>
            <w:r>
              <w:rPr>
                <w:rFonts w:ascii="Aptos" w:hAnsi="Aptos"/>
                <w:b w:val="0"/>
                <w:sz w:val="18"/>
              </w:rPr>
              <w:t>Principle mapping: 3 (Architect and Design for Security Policies), 8 (Practice Defense in Depth), and 9 (Use Effective Quality Assurance Techniques): RAII ownership, static checks, and sanitizer tests work together to reduce and catch dangling-pointer defects.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blHeader w:val="true"/>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vAlign w:val="center"/>
          </w:tcPr>
          <w:p>
            <w:pPr>
              <w:spacing w:before="40" w:after="40" w:line="259" w:lineRule="auto"/>
            </w:pPr>
            <w:r/>
            <w:r>
              <w:rPr>
                <w:rFonts w:ascii="Aptos" w:hAnsi="Aptos"/>
                <w:b w:val="0"/>
                <w:sz w:val="17"/>
              </w:rPr>
              <w:t>High</w:t>
            </w:r>
          </w:p>
        </w:tc>
        <w:tc>
          <w:tcPr>
            <w:tcW w:w="1341" w:type="dxa"/>
            <w:shd w:val="clear" w:color="auto" w:fill="auto"/>
            <w:vAlign w:val="center"/>
          </w:tcPr>
          <w:p>
            <w:pPr>
              <w:spacing w:before="40" w:after="40" w:line="259" w:lineRule="auto"/>
            </w:pPr>
            <w:r/>
            <w:r>
              <w:rPr>
                <w:rFonts w:ascii="Aptos" w:hAnsi="Aptos"/>
                <w:b w:val="0"/>
                <w:sz w:val="17"/>
              </w:rPr>
              <w:t>Possible</w:t>
            </w:r>
          </w:p>
        </w:tc>
        <w:tc>
          <w:tcPr>
            <w:tcW w:w="4021" w:type="dxa"/>
            <w:shd w:val="clear" w:color="auto" w:fill="auto"/>
            <w:vAlign w:val="center"/>
          </w:tcPr>
          <w:p>
            <w:pPr>
              <w:spacing w:before="40" w:after="40" w:line="259" w:lineRule="auto"/>
            </w:pPr>
            <w:r/>
            <w:r>
              <w:rPr>
                <w:rFonts w:ascii="Aptos" w:hAnsi="Aptos"/>
                <w:b w:val="0"/>
                <w:sz w:val="17"/>
              </w:rPr>
              <w:t>Medium</w:t>
            </w:r>
          </w:p>
        </w:tc>
        <w:tc>
          <w:tcPr>
            <w:tcW w:w="1807" w:type="dxa"/>
            <w:shd w:val="clear" w:color="auto" w:fill="auto"/>
            <w:vAlign w:val="center"/>
          </w:tcPr>
          <w:p>
            <w:pPr>
              <w:spacing w:before="40" w:after="40" w:line="259" w:lineRule="auto"/>
            </w:pPr>
            <w:r/>
            <w:r>
              <w:rPr>
                <w:rFonts w:ascii="Aptos" w:hAnsi="Aptos"/>
                <w:b w:val="0"/>
                <w:sz w:val="17"/>
              </w:rPr>
              <w:t>High</w:t>
            </w:r>
          </w:p>
        </w:tc>
        <w:tc>
          <w:tcPr>
            <w:tcW w:w="1805" w:type="dxa"/>
            <w:shd w:val="clear" w:color="auto" w:fill="auto"/>
            <w:vAlign w:val="center"/>
          </w:tcPr>
          <w:p>
            <w:pPr>
              <w:spacing w:before="40" w:after="40" w:line="259" w:lineRule="auto"/>
            </w:pPr>
            <w:r/>
            <w:r>
              <w:rPr>
                <w:rFonts w:ascii="Aptos" w:hAnsi="Aptos"/>
                <w:b w:val="0"/>
                <w:sz w:val="17"/>
              </w:rP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cantSplit/>
          <w:tblHeader w:val="true"/>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Cppcheck</w:t>
            </w:r>
          </w:p>
        </w:tc>
        <w:tc>
          <w:tcPr>
            <w:tcW w:w="1341" w:type="dxa"/>
            <w:shd w:val="clear" w:color="auto" w:fill="auto"/>
            <w:vAlign w:val="center"/>
          </w:tcPr>
          <w:p>
            <w:pPr>
              <w:spacing w:before="40" w:after="40" w:line="259" w:lineRule="auto"/>
            </w:pPr>
            <w:r/>
            <w:r>
              <w:rPr>
                <w:rFonts w:ascii="Aptos" w:hAnsi="Aptos"/>
                <w:b w:val="0"/>
                <w:sz w:val="16"/>
              </w:rPr>
              <w:t>2.16.0</w:t>
            </w:r>
          </w:p>
        </w:tc>
        <w:tc>
          <w:tcPr>
            <w:tcW w:w="4021" w:type="dxa"/>
            <w:shd w:val="clear" w:color="auto" w:fill="auto"/>
            <w:vAlign w:val="center"/>
          </w:tcPr>
          <w:p>
            <w:pPr>
              <w:spacing w:before="40" w:after="40" w:line="259" w:lineRule="auto"/>
            </w:pPr>
            <w:r/>
            <w:r>
              <w:rPr>
                <w:rFonts w:ascii="Aptos" w:hAnsi="Aptos"/>
                <w:b w:val="0"/>
                <w:sz w:val="16"/>
              </w:rPr>
              <w:t>deallocuse; invalidLifetime</w:t>
            </w:r>
          </w:p>
        </w:tc>
        <w:tc>
          <w:tcPr>
            <w:tcW w:w="3611" w:type="dxa"/>
            <w:shd w:val="clear" w:color="auto" w:fill="auto"/>
            <w:vAlign w:val="center"/>
          </w:tcPr>
          <w:p>
            <w:pPr>
              <w:spacing w:before="40" w:after="40" w:line="259" w:lineRule="auto"/>
            </w:pPr>
            <w:r/>
            <w:r>
              <w:rPr>
                <w:rFonts w:ascii="Aptos" w:hAnsi="Aptos"/>
                <w:b w:val="0"/>
                <w:sz w:val="16"/>
              </w:rPr>
              <w:t>Flags some dereferences of freed storage and lifetime misuse.</w:t>
            </w:r>
          </w:p>
        </w:tc>
      </w:tr>
      <w:tr w:rsidR="00B475A1" w14:paraId="433579AD"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Clang AddressSanitizer</w:t>
            </w:r>
          </w:p>
        </w:tc>
        <w:tc>
          <w:tcPr>
            <w:tcW w:w="1341" w:type="dxa"/>
            <w:shd w:val="clear" w:color="auto" w:fill="auto"/>
            <w:vAlign w:val="center"/>
          </w:tcPr>
          <w:p>
            <w:pPr>
              <w:spacing w:before="40" w:after="40" w:line="259" w:lineRule="auto"/>
            </w:pPr>
            <w:r/>
            <w:r>
              <w:rPr>
                <w:rFonts w:ascii="Aptos" w:hAnsi="Aptos"/>
                <w:b w:val="0"/>
                <w:sz w:val="16"/>
              </w:rPr>
              <w:t>18.1.8</w:t>
            </w:r>
          </w:p>
        </w:tc>
        <w:tc>
          <w:tcPr>
            <w:tcW w:w="4021" w:type="dxa"/>
            <w:shd w:val="clear" w:color="auto" w:fill="auto"/>
            <w:vAlign w:val="center"/>
          </w:tcPr>
          <w:p>
            <w:pPr>
              <w:spacing w:before="40" w:after="40" w:line="259" w:lineRule="auto"/>
            </w:pPr>
            <w:r/>
            <w:r>
              <w:rPr>
                <w:rFonts w:ascii="Aptos" w:hAnsi="Aptos"/>
                <w:b w:val="0"/>
                <w:sz w:val="16"/>
              </w:rPr>
              <w:t>heap-use-after-free</w:t>
            </w:r>
          </w:p>
        </w:tc>
        <w:tc>
          <w:tcPr>
            <w:tcW w:w="3611" w:type="dxa"/>
            <w:shd w:val="clear" w:color="auto" w:fill="auto"/>
            <w:vAlign w:val="center"/>
          </w:tcPr>
          <w:p>
            <w:pPr>
              <w:spacing w:before="40" w:after="40" w:line="259" w:lineRule="auto"/>
            </w:pPr>
            <w:r/>
            <w:r>
              <w:rPr>
                <w:rFonts w:ascii="Aptos" w:hAnsi="Aptos"/>
                <w:b w:val="0"/>
                <w:sz w:val="16"/>
              </w:rPr>
              <w:t>Runs during CI tests to expose reachable use-after-free memory accesses.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blHeader w:val="true"/>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pPr>
            <w:r/>
            <w:r>
              <w:rPr>
                <w:rFonts w:ascii="Arial" w:hAnsi="Arial"/>
                <w:b/>
                <w:sz w:val="21"/>
              </w:rPr>
              <w:t>Assertions</w:t>
            </w:r>
          </w:p>
        </w:tc>
        <w:tc>
          <w:tcPr>
            <w:tcW w:w="1341" w:type="dxa"/>
            <w:tcMar>
              <w:top w:w="100" w:type="dxa"/>
              <w:left w:w="100" w:type="dxa"/>
              <w:bottom w:w="100" w:type="dxa"/>
              <w:right w:w="100" w:type="dxa"/>
            </w:tcMar>
            <w:vAlign w:val="center"/>
          </w:tcPr>
          <w:p>
            <w:pPr>
              <w:spacing w:before="0" w:after="0"/>
            </w:pPr>
            <w:r/>
            <w:r>
              <w:rPr>
                <w:rFonts w:ascii="Arial" w:hAnsi="Arial"/>
                <w:b w:val="0"/>
                <w:sz w:val="21"/>
              </w:rPr>
              <w:t>STD-006-CPP</w:t>
            </w:r>
          </w:p>
        </w:tc>
        <w:tc>
          <w:tcPr>
            <w:tcW w:w="7632" w:type="dxa"/>
            <w:tcMar>
              <w:top w:w="100" w:type="dxa"/>
              <w:left w:w="100" w:type="dxa"/>
              <w:bottom w:w="100" w:type="dxa"/>
              <w:right w:w="100" w:type="dxa"/>
            </w:tcMar>
            <w:vAlign w:val="top"/>
          </w:tcPr>
          <w:p>
            <w:pPr>
              <w:spacing w:before="0" w:after="60"/>
            </w:pPr>
            <w:r/>
            <w:r>
              <w:rPr>
                <w:rFonts w:ascii="Arial" w:hAnsi="Arial"/>
                <w:b/>
                <w:sz w:val="21"/>
              </w:rPr>
              <w:t>Use assertions for programmer invariants, not runtime input validation</w:t>
            </w:r>
          </w:p>
          <w:p>
            <w:pPr>
              <w:spacing w:before="0" w:after="0"/>
            </w:pPr>
            <w:r>
              <w:rPr>
                <w:rFonts w:ascii="Arial" w:hAnsi="Arial"/>
                <w:b/>
                <w:sz w:val="20"/>
              </w:rPr>
              <w:t xml:space="preserve">Rationale: </w:t>
            </w:r>
            <w:r>
              <w:rPr>
                <w:rFonts w:ascii="Arial" w:hAnsi="Arial"/>
                <w:sz w:val="20"/>
              </w:rPr>
              <w:t>Assertions are useful for detecting violated internal assumptions, but they may be disabled in release builds and can terminate the process. Runtime errors and untrusted input must be handled with normal control flow.</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21A7E04A" w14:textId="77777777" w:rsidTr="00001F14">
        <w:trPr>
          <w:trHeight w:val="26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The function relies on assert() to validate a runtime request. If assertions are disabled, an invalid withdrawal can pass through the function.</w:t>
            </w:r>
          </w:p>
        </w:tc>
      </w:tr>
      <w:tr w:rsidR="00F72634" w14:paraId="058CAEAA"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void withdraw(int&amp; balance, int amount) {</w:t>
              <w:br/>
              <w:t xml:space="preserve">    assert(amount &gt; 0);</w:t>
              <w:br/>
              <w:t xml:space="preserve">    assert(amount &lt;= balance);</w:t>
              <w:br/>
              <w:br/>
              <w:t xml:space="preserve">    balance -= amount;</w:t>
              <w:b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3F3B3AD1" w14:textId="77777777" w:rsidTr="00001F14">
        <w:trPr>
          <w:trHeight w:val="8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Runtime input is checked explicitly, while assert() is reserved for an internal invariant that should remain true if the function is correct.</w:t>
            </w:r>
          </w:p>
        </w:tc>
      </w:tr>
      <w:tr w:rsidR="00F72634" w14:paraId="2DA5938A"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bool withdraw(int&amp; balance, int amount) {</w:t>
              <w:br/>
              <w:t xml:space="preserve">    if (amount &lt;= 0 || amount &gt; balance) {</w:t>
              <w:br/>
              <w:t xml:space="preserve">        return false;</w:t>
              <w:br/>
              <w:t xml:space="preserve">    }</w:t>
              <w:br/>
              <w:br/>
              <w:t xml:space="preserve">    balance -= amount;</w:t>
              <w:br/>
              <w:t xml:space="preserve">    assert(balance &gt;= 0);</w:t>
              <w:br/>
              <w:t xml:space="preserve">    return true;</w:t>
              <w:br/>
              <w:t>}</w:t>
            </w:r>
          </w:p>
        </w:tc>
      </w:tr>
    </w:tbl>
    <w:p w14:paraId="4419F26B"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780"/>
      </w:tblGrid>
      <w:tr w:rsidR="00B475A1" w14:paraId="2852D7CB" w14:textId="77777777" w:rsidTr="006D38A7">
        <w:trPr>
          <w:tblHeader/>
          <w:tblHeader w:val="true"/>
        </w:trPr>
        <w:tc>
          <w:tcPr>
            <w:tcW w:w="10780" w:type="dxa"/>
            <w:shd w:val="clear" w:color="auto" w:fill="auto"/>
            <w:tcMar>
              <w:top w:w="100" w:type="dxa"/>
              <w:left w:w="100" w:type="dxa"/>
              <w:bottom w:w="100" w:type="dxa"/>
              <w:right w:w="100" w:type="dxa"/>
            </w:tcMar>
            <w:vAlign w:val="center"/>
          </w:tcPr>
          <w:p>
            <w:pPr>
              <w:spacing w:before="40" w:after="40" w:line="259" w:lineRule="auto"/>
            </w:pPr>
            <w:r/>
            <w:r>
              <w:rPr>
                <w:rFonts w:ascii="Aptos" w:hAnsi="Aptos"/>
                <w:b w:val="0"/>
                <w:sz w:val="18"/>
              </w:rPr>
              <w:t>Principle mapping: 2 (Heed Compiler Warnings), 9 (Use Effective Quality Assurance Techniques), and 10 (Adopt a Secure Coding Standard): Keep checks for untrusted input in ordinary runtime control flow and test release configurations with assertions disabled.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blHeader w:val="true"/>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vAlign w:val="center"/>
          </w:tcPr>
          <w:p>
            <w:pPr>
              <w:spacing w:before="40" w:after="40" w:line="259" w:lineRule="auto"/>
            </w:pPr>
            <w:r/>
            <w:r>
              <w:rPr>
                <w:rFonts w:ascii="Aptos" w:hAnsi="Aptos"/>
                <w:b w:val="0"/>
                <w:sz w:val="17"/>
              </w:rPr>
              <w:t>Medium</w:t>
            </w:r>
          </w:p>
        </w:tc>
        <w:tc>
          <w:tcPr>
            <w:tcW w:w="1341" w:type="dxa"/>
            <w:shd w:val="clear" w:color="auto" w:fill="auto"/>
            <w:vAlign w:val="center"/>
          </w:tcPr>
          <w:p>
            <w:pPr>
              <w:spacing w:before="40" w:after="40" w:line="259" w:lineRule="auto"/>
            </w:pPr>
            <w:r/>
            <w:r>
              <w:rPr>
                <w:rFonts w:ascii="Aptos" w:hAnsi="Aptos"/>
                <w:b w:val="0"/>
                <w:sz w:val="17"/>
              </w:rPr>
              <w:t>Possible</w:t>
            </w:r>
          </w:p>
        </w:tc>
        <w:tc>
          <w:tcPr>
            <w:tcW w:w="4021" w:type="dxa"/>
            <w:shd w:val="clear" w:color="auto" w:fill="auto"/>
            <w:vAlign w:val="center"/>
          </w:tcPr>
          <w:p>
            <w:pPr>
              <w:spacing w:before="40" w:after="40" w:line="259" w:lineRule="auto"/>
            </w:pPr>
            <w:r/>
            <w:r>
              <w:rPr>
                <w:rFonts w:ascii="Aptos" w:hAnsi="Aptos"/>
                <w:b w:val="0"/>
                <w:sz w:val="17"/>
              </w:rPr>
              <w:t>Low</w:t>
            </w:r>
          </w:p>
        </w:tc>
        <w:tc>
          <w:tcPr>
            <w:tcW w:w="1807" w:type="dxa"/>
            <w:shd w:val="clear" w:color="auto" w:fill="auto"/>
            <w:vAlign w:val="center"/>
          </w:tcPr>
          <w:p>
            <w:pPr>
              <w:spacing w:before="40" w:after="40" w:line="259" w:lineRule="auto"/>
            </w:pPr>
            <w:r/>
            <w:r>
              <w:rPr>
                <w:rFonts w:ascii="Aptos" w:hAnsi="Aptos"/>
                <w:b w:val="0"/>
                <w:sz w:val="17"/>
              </w:rPr>
              <w:t>Medium</w:t>
            </w:r>
          </w:p>
        </w:tc>
        <w:tc>
          <w:tcPr>
            <w:tcW w:w="1805" w:type="dxa"/>
            <w:shd w:val="clear" w:color="auto" w:fill="auto"/>
            <w:vAlign w:val="center"/>
          </w:tcPr>
          <w:p>
            <w:pPr>
              <w:spacing w:before="40" w:after="40" w:line="259" w:lineRule="auto"/>
            </w:pPr>
            <w:r/>
            <w:r>
              <w:rPr>
                <w:rFonts w:ascii="Aptos" w:hAnsi="Aptos"/>
                <w:b w:val="0"/>
                <w:sz w:val="17"/>
              </w:rP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cantSplit/>
          <w:tblHeader w:val="true"/>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clang-tidy</w:t>
            </w:r>
          </w:p>
        </w:tc>
        <w:tc>
          <w:tcPr>
            <w:tcW w:w="1341" w:type="dxa"/>
            <w:shd w:val="clear" w:color="auto" w:fill="auto"/>
            <w:vAlign w:val="center"/>
          </w:tcPr>
          <w:p>
            <w:pPr>
              <w:spacing w:before="40" w:after="40" w:line="259" w:lineRule="auto"/>
            </w:pPr>
            <w:r/>
            <w:r>
              <w:rPr>
                <w:rFonts w:ascii="Aptos" w:hAnsi="Aptos"/>
                <w:b w:val="0"/>
                <w:sz w:val="16"/>
              </w:rPr>
              <w:t>18.1.8</w:t>
            </w:r>
          </w:p>
        </w:tc>
        <w:tc>
          <w:tcPr>
            <w:tcW w:w="4021" w:type="dxa"/>
            <w:shd w:val="clear" w:color="auto" w:fill="auto"/>
            <w:vAlign w:val="center"/>
          </w:tcPr>
          <w:p>
            <w:pPr>
              <w:spacing w:before="40" w:after="40" w:line="259" w:lineRule="auto"/>
            </w:pPr>
            <w:r/>
            <w:r>
              <w:rPr>
                <w:rFonts w:ascii="Aptos" w:hAnsi="Aptos"/>
                <w:b w:val="0"/>
                <w:sz w:val="16"/>
              </w:rPr>
              <w:t>bugprone-assert-side-effect</w:t>
            </w:r>
          </w:p>
        </w:tc>
        <w:tc>
          <w:tcPr>
            <w:tcW w:w="3611" w:type="dxa"/>
            <w:shd w:val="clear" w:color="auto" w:fill="auto"/>
            <w:vAlign w:val="center"/>
          </w:tcPr>
          <w:p>
            <w:pPr>
              <w:spacing w:before="40" w:after="40" w:line="259" w:lineRule="auto"/>
            </w:pPr>
            <w:r/>
            <w:r>
              <w:rPr>
                <w:rFonts w:ascii="Aptos" w:hAnsi="Aptos"/>
                <w:b w:val="0"/>
                <w:sz w:val="16"/>
              </w:rPr>
              <w:t>Detects assertions with side effects; it does NOT by itself prove all runtime inputs are validated.</w:t>
            </w:r>
          </w:p>
        </w:tc>
      </w:tr>
      <w:tr w:rsidR="00B475A1" w14:paraId="31776F75"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CTest / release build</w:t>
            </w:r>
          </w:p>
        </w:tc>
        <w:tc>
          <w:tcPr>
            <w:tcW w:w="1341" w:type="dxa"/>
            <w:shd w:val="clear" w:color="auto" w:fill="auto"/>
            <w:vAlign w:val="center"/>
          </w:tcPr>
          <w:p>
            <w:pPr>
              <w:spacing w:before="40" w:after="40" w:line="259" w:lineRule="auto"/>
            </w:pPr>
            <w:r/>
            <w:r>
              <w:rPr>
                <w:rFonts w:ascii="Aptos" w:hAnsi="Aptos"/>
                <w:b w:val="0"/>
                <w:sz w:val="16"/>
              </w:rPr>
              <w:t>3.30.0</w:t>
            </w:r>
          </w:p>
        </w:tc>
        <w:tc>
          <w:tcPr>
            <w:tcW w:w="4021" w:type="dxa"/>
            <w:shd w:val="clear" w:color="auto" w:fill="auto"/>
            <w:vAlign w:val="center"/>
          </w:tcPr>
          <w:p>
            <w:pPr>
              <w:spacing w:before="40" w:after="40" w:line="259" w:lineRule="auto"/>
            </w:pPr>
            <w:r/>
            <w:r>
              <w:rPr>
                <w:rFonts w:ascii="Aptos" w:hAnsi="Aptos"/>
                <w:b w:val="0"/>
                <w:sz w:val="16"/>
              </w:rPr>
              <w:t>-DNDEBUG negative-input tests</w:t>
            </w:r>
          </w:p>
        </w:tc>
        <w:tc>
          <w:tcPr>
            <w:tcW w:w="3611" w:type="dxa"/>
            <w:shd w:val="clear" w:color="auto" w:fill="auto"/>
            <w:vAlign w:val="center"/>
          </w:tcPr>
          <w:p>
            <w:pPr>
              <w:spacing w:before="40" w:after="40" w:line="259" w:lineRule="auto"/>
            </w:pPr>
            <w:r/>
            <w:r>
              <w:rPr>
                <w:rFonts w:ascii="Aptos" w:hAnsi="Aptos"/>
                <w:b w:val="0"/>
                <w:sz w:val="16"/>
              </w:rPr>
              <w:t>Automated regression checks verify rejected inputs still fail safely with assertions disabled.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blHeader w:val="true"/>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pPr>
            <w:r/>
            <w:r>
              <w:rPr>
                <w:rFonts w:ascii="Arial" w:hAnsi="Arial"/>
                <w:b/>
                <w:sz w:val="21"/>
              </w:rPr>
              <w:t>Exceptions</w:t>
            </w:r>
          </w:p>
        </w:tc>
        <w:tc>
          <w:tcPr>
            <w:tcW w:w="1341" w:type="dxa"/>
            <w:tcMar>
              <w:top w:w="100" w:type="dxa"/>
              <w:left w:w="100" w:type="dxa"/>
              <w:bottom w:w="100" w:type="dxa"/>
              <w:right w:w="100" w:type="dxa"/>
            </w:tcMar>
            <w:vAlign w:val="center"/>
          </w:tcPr>
          <w:p>
            <w:pPr>
              <w:spacing w:before="0" w:after="0"/>
            </w:pPr>
            <w:r/>
            <w:r>
              <w:rPr>
                <w:rFonts w:ascii="Arial" w:hAnsi="Arial"/>
                <w:b w:val="0"/>
                <w:sz w:val="21"/>
              </w:rPr>
              <w:t>STD-007-CPP</w:t>
            </w:r>
          </w:p>
        </w:tc>
        <w:tc>
          <w:tcPr>
            <w:tcW w:w="7632" w:type="dxa"/>
            <w:tcMar>
              <w:top w:w="100" w:type="dxa"/>
              <w:left w:w="100" w:type="dxa"/>
              <w:bottom w:w="100" w:type="dxa"/>
              <w:right w:w="100" w:type="dxa"/>
            </w:tcMar>
            <w:vAlign w:val="top"/>
          </w:tcPr>
          <w:p>
            <w:pPr>
              <w:spacing w:before="0" w:after="60"/>
            </w:pPr>
            <w:r/>
            <w:r>
              <w:rPr>
                <w:rFonts w:ascii="Arial" w:hAnsi="Arial"/>
                <w:b/>
                <w:sz w:val="21"/>
              </w:rPr>
              <w:t>ERR51-CPP: Handle all exceptions</w:t>
            </w:r>
          </w:p>
          <w:p>
            <w:pPr>
              <w:spacing w:before="0" w:after="0"/>
            </w:pPr>
            <w:r>
              <w:rPr>
                <w:rFonts w:ascii="Arial" w:hAnsi="Arial"/>
                <w:b/>
                <w:sz w:val="20"/>
              </w:rPr>
              <w:t xml:space="preserve">Rationale: </w:t>
            </w:r>
            <w:r>
              <w:rPr>
                <w:rFonts w:ascii="Arial" w:hAnsi="Arial"/>
                <w:sz w:val="20"/>
              </w:rPr>
              <w:t>An uncaught exception can terminate the program before it performs controlled cleanup or reports the failure appropriately. Top-level execution paths should catch and handle exceptions according to the application's error policy.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53FF1174" w14:textId="77777777" w:rsidTr="00001F14">
        <w:trPr>
          <w:trHeight w:val="26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The operation can throw, but main() provides no matching exception handler. An unexpected exception can cause abrupt termination.</w:t>
            </w:r>
          </w:p>
        </w:tc>
      </w:tr>
      <w:tr w:rsidR="00F72634" w14:paraId="3CEA03A3"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int main() {</w:t>
              <w:br/>
              <w:t xml:space="preserve">    loadConfiguration();</w:t>
              <w:br/>
              <w:t xml:space="preserve">    runApplication();</w:t>
              <w:br/>
              <w:t xml:space="preserve">    return 0;</w:t>
              <w:b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5D695EF3" w14:textId="77777777" w:rsidTr="00001F14">
        <w:trPr>
          <w:trHeight w:val="8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The top-level function catches standard exceptions and includes a final fallback handler, allowing the application to report failure and exit deliberately.</w:t>
            </w:r>
          </w:p>
        </w:tc>
      </w:tr>
      <w:tr w:rsidR="00F72634" w14:paraId="5DBE36E7"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int main() {</w:t>
              <w:br/>
              <w:t xml:space="preserve">    try {</w:t>
              <w:br/>
              <w:t xml:space="preserve">        loadConfiguration();</w:t>
              <w:br/>
              <w:t xml:space="preserve">        runApplication();</w:t>
              <w:br/>
              <w:t xml:space="preserve">        return 0;</w:t>
              <w:br/>
              <w:t xml:space="preserve">    } catch (const std::exception&amp; e) {</w:t>
              <w:br/>
              <w:t xml:space="preserve">        std::cerr &lt;&lt; e.what() &lt;&lt; '\n';</w:t>
              <w:br/>
              <w:t xml:space="preserve">        return 1;</w:t>
              <w:br/>
              <w:t xml:space="preserve">    } catch (...) {</w:t>
              <w:br/>
              <w:t xml:space="preserve">        std::cerr &lt;&lt; "Unexpected error\n";</w:t>
              <w:br/>
              <w:t xml:space="preserve">        return 1;</w:t>
              <w:br/>
              <w:t xml:space="preserve">    }</w:t>
              <w:br/>
              <w:t>}</w:t>
            </w:r>
          </w:p>
        </w:tc>
      </w:tr>
    </w:tbl>
    <w:p w14:paraId="654D300E"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780"/>
      </w:tblGrid>
      <w:tr w:rsidR="00B475A1" w14:paraId="16362F90" w14:textId="77777777" w:rsidTr="006D38A7">
        <w:trPr>
          <w:tblHeader/>
          <w:tblHeader w:val="true"/>
        </w:trPr>
        <w:tc>
          <w:tcPr>
            <w:tcW w:w="10780" w:type="dxa"/>
            <w:shd w:val="clear" w:color="auto" w:fill="auto"/>
            <w:tcMar>
              <w:top w:w="100" w:type="dxa"/>
              <w:left w:w="100" w:type="dxa"/>
              <w:bottom w:w="100" w:type="dxa"/>
              <w:right w:w="100" w:type="dxa"/>
            </w:tcMar>
            <w:vAlign w:val="center"/>
          </w:tcPr>
          <w:p>
            <w:pPr>
              <w:spacing w:before="40" w:after="40" w:line="259" w:lineRule="auto"/>
            </w:pPr>
            <w:r/>
            <w:r>
              <w:rPr>
                <w:rFonts w:ascii="Aptos" w:hAnsi="Aptos"/>
                <w:b w:val="0"/>
                <w:sz w:val="18"/>
              </w:rPr>
              <w:t>Principle mapping: 3 (Architect and Design for Security Policies), 8 (Practice Defense in Depth), and 9 (Use Effective Quality Assurance Techniques): Explicit exception boundaries, RAII cleanup, and error-path tests prevent crashes and uncontrolled exposure when operations fail.</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blHeader w:val="true"/>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vAlign w:val="center"/>
          </w:tcPr>
          <w:p>
            <w:pPr>
              <w:spacing w:before="40" w:after="40" w:line="259" w:lineRule="auto"/>
            </w:pPr>
            <w:r/>
            <w:r>
              <w:rPr>
                <w:rFonts w:ascii="Aptos" w:hAnsi="Aptos"/>
                <w:b w:val="0"/>
                <w:sz w:val="17"/>
              </w:rPr>
              <w:t>Medium</w:t>
            </w:r>
          </w:p>
        </w:tc>
        <w:tc>
          <w:tcPr>
            <w:tcW w:w="1341" w:type="dxa"/>
            <w:shd w:val="clear" w:color="auto" w:fill="auto"/>
            <w:vAlign w:val="center"/>
          </w:tcPr>
          <w:p>
            <w:pPr>
              <w:spacing w:before="40" w:after="40" w:line="259" w:lineRule="auto"/>
            </w:pPr>
            <w:r/>
            <w:r>
              <w:rPr>
                <w:rFonts w:ascii="Aptos" w:hAnsi="Aptos"/>
                <w:b w:val="0"/>
                <w:sz w:val="17"/>
              </w:rPr>
              <w:t>Possible</w:t>
            </w:r>
          </w:p>
        </w:tc>
        <w:tc>
          <w:tcPr>
            <w:tcW w:w="4021" w:type="dxa"/>
            <w:shd w:val="clear" w:color="auto" w:fill="auto"/>
            <w:vAlign w:val="center"/>
          </w:tcPr>
          <w:p>
            <w:pPr>
              <w:spacing w:before="40" w:after="40" w:line="259" w:lineRule="auto"/>
            </w:pPr>
            <w:r/>
            <w:r>
              <w:rPr>
                <w:rFonts w:ascii="Aptos" w:hAnsi="Aptos"/>
                <w:b w:val="0"/>
                <w:sz w:val="17"/>
              </w:rPr>
              <w:t>Medium</w:t>
            </w:r>
          </w:p>
        </w:tc>
        <w:tc>
          <w:tcPr>
            <w:tcW w:w="1807" w:type="dxa"/>
            <w:shd w:val="clear" w:color="auto" w:fill="auto"/>
            <w:vAlign w:val="center"/>
          </w:tcPr>
          <w:p>
            <w:pPr>
              <w:spacing w:before="40" w:after="40" w:line="259" w:lineRule="auto"/>
            </w:pPr>
            <w:r/>
            <w:r>
              <w:rPr>
                <w:rFonts w:ascii="Aptos" w:hAnsi="Aptos"/>
                <w:b w:val="0"/>
                <w:sz w:val="17"/>
              </w:rPr>
              <w:t>Medium</w:t>
            </w:r>
          </w:p>
        </w:tc>
        <w:tc>
          <w:tcPr>
            <w:tcW w:w="1805" w:type="dxa"/>
            <w:shd w:val="clear" w:color="auto" w:fill="auto"/>
            <w:vAlign w:val="center"/>
          </w:tcPr>
          <w:p>
            <w:pPr>
              <w:spacing w:before="40" w:after="40" w:line="259" w:lineRule="auto"/>
            </w:pPr>
            <w:r/>
            <w:r>
              <w:rPr>
                <w:rFonts w:ascii="Aptos" w:hAnsi="Aptos"/>
                <w:b w:val="0"/>
                <w:sz w:val="17"/>
              </w:rP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cantSplit/>
          <w:tblHeader w:val="true"/>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clang-tidy</w:t>
            </w:r>
          </w:p>
        </w:tc>
        <w:tc>
          <w:tcPr>
            <w:tcW w:w="1341" w:type="dxa"/>
            <w:shd w:val="clear" w:color="auto" w:fill="auto"/>
            <w:vAlign w:val="center"/>
          </w:tcPr>
          <w:p>
            <w:pPr>
              <w:spacing w:before="40" w:after="40" w:line="259" w:lineRule="auto"/>
            </w:pPr>
            <w:r/>
            <w:r>
              <w:rPr>
                <w:rFonts w:ascii="Aptos" w:hAnsi="Aptos"/>
                <w:b w:val="0"/>
                <w:sz w:val="16"/>
              </w:rPr>
              <w:t>18.1.8</w:t>
            </w:r>
          </w:p>
        </w:tc>
        <w:tc>
          <w:tcPr>
            <w:tcW w:w="4021" w:type="dxa"/>
            <w:shd w:val="clear" w:color="auto" w:fill="auto"/>
            <w:vAlign w:val="center"/>
          </w:tcPr>
          <w:p>
            <w:pPr>
              <w:spacing w:before="40" w:after="40" w:line="259" w:lineRule="auto"/>
            </w:pPr>
            <w:r/>
            <w:r>
              <w:rPr>
                <w:rFonts w:ascii="Aptos" w:hAnsi="Aptos"/>
                <w:b w:val="0"/>
                <w:sz w:val="16"/>
              </w:rPr>
              <w:t>bugprone-exception-escape</w:t>
            </w:r>
          </w:p>
        </w:tc>
        <w:tc>
          <w:tcPr>
            <w:tcW w:w="3611" w:type="dxa"/>
            <w:shd w:val="clear" w:color="auto" w:fill="auto"/>
            <w:vAlign w:val="center"/>
          </w:tcPr>
          <w:p>
            <w:pPr>
              <w:spacing w:before="40" w:after="40" w:line="259" w:lineRule="auto"/>
            </w:pPr>
            <w:r/>
            <w:r>
              <w:rPr>
                <w:rFonts w:ascii="Aptos" w:hAnsi="Aptos"/>
                <w:b w:val="0"/>
                <w:sz w:val="16"/>
              </w:rPr>
              <w:t>Flags certain exception paths that can escape main, destructors, or noexcept functions; partial coverage.</w:t>
            </w:r>
          </w:p>
        </w:tc>
      </w:tr>
      <w:tr w:rsidR="00B475A1" w14:paraId="415234C8"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CTest</w:t>
            </w:r>
          </w:p>
        </w:tc>
        <w:tc>
          <w:tcPr>
            <w:tcW w:w="1341" w:type="dxa"/>
            <w:shd w:val="clear" w:color="auto" w:fill="auto"/>
            <w:vAlign w:val="center"/>
          </w:tcPr>
          <w:p>
            <w:pPr>
              <w:spacing w:before="40" w:after="40" w:line="259" w:lineRule="auto"/>
            </w:pPr>
            <w:r/>
            <w:r>
              <w:rPr>
                <w:rFonts w:ascii="Aptos" w:hAnsi="Aptos"/>
                <w:b w:val="0"/>
                <w:sz w:val="16"/>
              </w:rPr>
              <w:t>3.30.0</w:t>
            </w:r>
          </w:p>
        </w:tc>
        <w:tc>
          <w:tcPr>
            <w:tcW w:w="4021" w:type="dxa"/>
            <w:shd w:val="clear" w:color="auto" w:fill="auto"/>
            <w:vAlign w:val="center"/>
          </w:tcPr>
          <w:p>
            <w:pPr>
              <w:spacing w:before="40" w:after="40" w:line="259" w:lineRule="auto"/>
            </w:pPr>
            <w:r/>
            <w:r>
              <w:rPr>
                <w:rFonts w:ascii="Aptos" w:hAnsi="Aptos"/>
                <w:b w:val="0"/>
                <w:sz w:val="16"/>
              </w:rPr>
              <w:t>exception-path regression tests</w:t>
            </w:r>
          </w:p>
        </w:tc>
        <w:tc>
          <w:tcPr>
            <w:tcW w:w="3611" w:type="dxa"/>
            <w:shd w:val="clear" w:color="auto" w:fill="auto"/>
            <w:vAlign w:val="center"/>
          </w:tcPr>
          <w:p>
            <w:pPr>
              <w:spacing w:before="40" w:after="40" w:line="259" w:lineRule="auto"/>
            </w:pPr>
            <w:r/>
            <w:r>
              <w:rPr>
                <w:rFonts w:ascii="Aptos" w:hAnsi="Aptos"/>
                <w:b w:val="0"/>
                <w:sz w:val="16"/>
              </w:rPr>
              <w:t>Inject expected failures and verify controlled error reporting, cleanup, and exit status.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blHeader w:val="true"/>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pPr>
            <w:r/>
            <w:r>
              <w:rPr>
                <w:rFonts w:ascii="Arial" w:hAnsi="Arial"/>
                <w:b/>
                <w:sz w:val="21"/>
              </w:rPr>
              <w:t>Container Bounds</w:t>
            </w:r>
          </w:p>
        </w:tc>
        <w:tc>
          <w:tcPr>
            <w:tcW w:w="1341" w:type="dxa"/>
            <w:tcMar>
              <w:top w:w="100" w:type="dxa"/>
              <w:left w:w="100" w:type="dxa"/>
              <w:bottom w:w="100" w:type="dxa"/>
              <w:right w:w="100" w:type="dxa"/>
            </w:tcMar>
            <w:vAlign w:val="center"/>
          </w:tcPr>
          <w:p>
            <w:pPr>
              <w:spacing w:before="0" w:after="0"/>
            </w:pPr>
            <w:r/>
            <w:r>
              <w:rPr>
                <w:rFonts w:ascii="Arial" w:hAnsi="Arial"/>
                <w:b w:val="0"/>
                <w:sz w:val="21"/>
              </w:rPr>
              <w:t>STD-008-CPP</w:t>
            </w:r>
          </w:p>
        </w:tc>
        <w:tc>
          <w:tcPr>
            <w:tcW w:w="7632" w:type="dxa"/>
            <w:tcMar>
              <w:top w:w="100" w:type="dxa"/>
              <w:left w:w="100" w:type="dxa"/>
              <w:bottom w:w="100" w:type="dxa"/>
              <w:right w:w="100" w:type="dxa"/>
            </w:tcMar>
            <w:vAlign w:val="top"/>
          </w:tcPr>
          <w:p>
            <w:pPr>
              <w:spacing w:before="0" w:after="60"/>
            </w:pPr>
            <w:r/>
            <w:r>
              <w:rPr>
                <w:rFonts w:ascii="Arial" w:hAnsi="Arial"/>
                <w:b/>
                <w:sz w:val="21"/>
              </w:rPr>
              <w:t>CTR50-CPP: Keep container indices and iterators within the valid range</w:t>
            </w:r>
          </w:p>
          <w:p>
            <w:pPr>
              <w:spacing w:before="0" w:after="0"/>
            </w:pPr>
            <w:r>
              <w:rPr>
                <w:rFonts w:ascii="Arial" w:hAnsi="Arial"/>
                <w:b/>
                <w:sz w:val="20"/>
              </w:rPr>
              <w:t xml:space="preserve">Rationale: </w:t>
            </w:r>
            <w:r>
              <w:rPr>
                <w:rFonts w:ascii="Arial" w:hAnsi="Arial"/>
                <w:sz w:val="20"/>
              </w:rPr>
              <w:t>Unchecked indexes can access memory outside a container's valid elements. Validate indexes before access or use bounds-checked interfaces when appropriate.</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3B403104" w14:textId="77777777" w:rsidTr="00001F14">
        <w:trPr>
          <w:trHeight w:val="26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The user-controlled index is used directly with operator[]. An index outside the vector's range produces undefined behavior.</w:t>
            </w:r>
          </w:p>
        </w:tc>
      </w:tr>
      <w:tr w:rsidR="00F72634" w14:paraId="1F240B56"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std::size_t index = readIndex();</w:t>
              <w:br/>
              <w:t>std::string item = items[index];</w:t>
              <w:br/>
              <w:t>display(item);</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02B8B075" w14:textId="77777777" w:rsidTr="00001F14">
        <w:trPr>
          <w:trHeight w:val="8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The index is compared with the container size before access, so out-of-range input is rejected instead of touching invalid memory.</w:t>
            </w:r>
          </w:p>
        </w:tc>
      </w:tr>
      <w:tr w:rsidR="00F72634" w14:paraId="2A6DB0E0"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std::size_t index = readIndex();</w:t>
              <w:br/>
              <w:br/>
              <w:t>if (index &gt;= items.size()) {</w:t>
              <w:br/>
              <w:t xml:space="preserve">    rejectInput();</w:t>
              <w:br/>
              <w:t>} else {</w:t>
              <w:br/>
              <w:t xml:space="preserve">    display(items[index]);</w:t>
              <w:br/>
              <w:t>}</w:t>
            </w:r>
          </w:p>
        </w:tc>
      </w:tr>
    </w:tbl>
    <w:p w14:paraId="4D273B38"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780"/>
      </w:tblGrid>
      <w:tr w:rsidR="00B475A1" w14:paraId="5940353E" w14:textId="77777777" w:rsidTr="006D38A7">
        <w:trPr>
          <w:tblHeader/>
          <w:tblHeader w:val="true"/>
        </w:trPr>
        <w:tc>
          <w:tcPr>
            <w:tcW w:w="10780" w:type="dxa"/>
            <w:shd w:val="clear" w:color="auto" w:fill="auto"/>
            <w:tcMar>
              <w:top w:w="100" w:type="dxa"/>
              <w:left w:w="100" w:type="dxa"/>
              <w:bottom w:w="100" w:type="dxa"/>
              <w:right w:w="100" w:type="dxa"/>
            </w:tcMar>
            <w:vAlign w:val="center"/>
          </w:tcPr>
          <w:p>
            <w:pPr>
              <w:spacing w:before="40" w:after="40" w:line="259" w:lineRule="auto"/>
            </w:pPr>
            <w:r/>
            <w:r>
              <w:rPr>
                <w:rFonts w:ascii="Aptos" w:hAnsi="Aptos"/>
                <w:b w:val="0"/>
                <w:sz w:val="18"/>
              </w:rPr>
              <w:t>Principle mapping: 1 (Validate Input Data), 9 (Use Effective Quality Assurance Techniques), and 10 (Adopt a Secure Coding Standard): Reject invalid indices at input boundaries and use vector::at() or pre-access checks; test empty and last-element cases.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blHeader w:val="true"/>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vAlign w:val="center"/>
          </w:tcPr>
          <w:p>
            <w:pPr>
              <w:spacing w:before="40" w:after="40" w:line="259" w:lineRule="auto"/>
            </w:pPr>
            <w:r/>
            <w:r>
              <w:rPr>
                <w:rFonts w:ascii="Aptos" w:hAnsi="Aptos"/>
                <w:b w:val="0"/>
                <w:sz w:val="17"/>
              </w:rPr>
              <w:t>High</w:t>
            </w:r>
          </w:p>
        </w:tc>
        <w:tc>
          <w:tcPr>
            <w:tcW w:w="1341" w:type="dxa"/>
            <w:shd w:val="clear" w:color="auto" w:fill="auto"/>
            <w:vAlign w:val="center"/>
          </w:tcPr>
          <w:p>
            <w:pPr>
              <w:spacing w:before="40" w:after="40" w:line="259" w:lineRule="auto"/>
            </w:pPr>
            <w:r/>
            <w:r>
              <w:rPr>
                <w:rFonts w:ascii="Aptos" w:hAnsi="Aptos"/>
                <w:b w:val="0"/>
                <w:sz w:val="17"/>
              </w:rPr>
              <w:t>Possible</w:t>
            </w:r>
          </w:p>
        </w:tc>
        <w:tc>
          <w:tcPr>
            <w:tcW w:w="4021" w:type="dxa"/>
            <w:shd w:val="clear" w:color="auto" w:fill="auto"/>
            <w:vAlign w:val="center"/>
          </w:tcPr>
          <w:p>
            <w:pPr>
              <w:spacing w:before="40" w:after="40" w:line="259" w:lineRule="auto"/>
            </w:pPr>
            <w:r/>
            <w:r>
              <w:rPr>
                <w:rFonts w:ascii="Aptos" w:hAnsi="Aptos"/>
                <w:b w:val="0"/>
                <w:sz w:val="17"/>
              </w:rPr>
              <w:t>Low</w:t>
            </w:r>
          </w:p>
        </w:tc>
        <w:tc>
          <w:tcPr>
            <w:tcW w:w="1807" w:type="dxa"/>
            <w:shd w:val="clear" w:color="auto" w:fill="auto"/>
            <w:vAlign w:val="center"/>
          </w:tcPr>
          <w:p>
            <w:pPr>
              <w:spacing w:before="40" w:after="40" w:line="259" w:lineRule="auto"/>
            </w:pPr>
            <w:r/>
            <w:r>
              <w:rPr>
                <w:rFonts w:ascii="Aptos" w:hAnsi="Aptos"/>
                <w:b w:val="0"/>
                <w:sz w:val="17"/>
              </w:rPr>
              <w:t>High</w:t>
            </w:r>
          </w:p>
        </w:tc>
        <w:tc>
          <w:tcPr>
            <w:tcW w:w="1805" w:type="dxa"/>
            <w:shd w:val="clear" w:color="auto" w:fill="auto"/>
            <w:vAlign w:val="center"/>
          </w:tcPr>
          <w:p>
            <w:pPr>
              <w:spacing w:before="40" w:after="40" w:line="259" w:lineRule="auto"/>
            </w:pPr>
            <w:r/>
            <w:r>
              <w:rPr>
                <w:rFonts w:ascii="Aptos" w:hAnsi="Aptos"/>
                <w:b w:val="0"/>
                <w:sz w:val="17"/>
              </w:rP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cantSplit/>
          <w:tblHeader w:val="true"/>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Cppcheck</w:t>
            </w:r>
          </w:p>
        </w:tc>
        <w:tc>
          <w:tcPr>
            <w:tcW w:w="1341" w:type="dxa"/>
            <w:shd w:val="clear" w:color="auto" w:fill="auto"/>
            <w:vAlign w:val="center"/>
          </w:tcPr>
          <w:p>
            <w:pPr>
              <w:spacing w:before="40" w:after="40" w:line="259" w:lineRule="auto"/>
            </w:pPr>
            <w:r/>
            <w:r>
              <w:rPr>
                <w:rFonts w:ascii="Aptos" w:hAnsi="Aptos"/>
                <w:b w:val="0"/>
                <w:sz w:val="16"/>
              </w:rPr>
              <w:t>2.16.0</w:t>
            </w:r>
          </w:p>
        </w:tc>
        <w:tc>
          <w:tcPr>
            <w:tcW w:w="4021" w:type="dxa"/>
            <w:shd w:val="clear" w:color="auto" w:fill="auto"/>
            <w:vAlign w:val="center"/>
          </w:tcPr>
          <w:p>
            <w:pPr>
              <w:spacing w:before="40" w:after="40" w:line="259" w:lineRule="auto"/>
            </w:pPr>
            <w:r/>
            <w:r>
              <w:rPr>
                <w:rFonts w:ascii="Aptos" w:hAnsi="Aptos"/>
                <w:b w:val="0"/>
                <w:sz w:val="16"/>
              </w:rPr>
              <w:t>containerOutOfBounds; arrayIndexOutOfBounds</w:t>
            </w:r>
          </w:p>
        </w:tc>
        <w:tc>
          <w:tcPr>
            <w:tcW w:w="3611" w:type="dxa"/>
            <w:shd w:val="clear" w:color="auto" w:fill="auto"/>
            <w:vAlign w:val="center"/>
          </w:tcPr>
          <w:p>
            <w:pPr>
              <w:spacing w:before="40" w:after="40" w:line="259" w:lineRule="auto"/>
            </w:pPr>
            <w:r/>
            <w:r>
              <w:rPr>
                <w:rFonts w:ascii="Aptos" w:hAnsi="Aptos"/>
                <w:b w:val="0"/>
                <w:sz w:val="16"/>
              </w:rPr>
              <w:t>Can catch some container-bound violations when sizes and indexes are analyzable.</w:t>
            </w:r>
          </w:p>
        </w:tc>
      </w:tr>
      <w:tr w:rsidR="00B475A1" w14:paraId="50569B33"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Clang AddressSanitizer</w:t>
            </w:r>
          </w:p>
        </w:tc>
        <w:tc>
          <w:tcPr>
            <w:tcW w:w="1341" w:type="dxa"/>
            <w:shd w:val="clear" w:color="auto" w:fill="auto"/>
            <w:vAlign w:val="center"/>
          </w:tcPr>
          <w:p>
            <w:pPr>
              <w:spacing w:before="40" w:after="40" w:line="259" w:lineRule="auto"/>
            </w:pPr>
            <w:r/>
            <w:r>
              <w:rPr>
                <w:rFonts w:ascii="Aptos" w:hAnsi="Aptos"/>
                <w:b w:val="0"/>
                <w:sz w:val="16"/>
              </w:rPr>
              <w:t>18.1.8</w:t>
            </w:r>
          </w:p>
        </w:tc>
        <w:tc>
          <w:tcPr>
            <w:tcW w:w="4021" w:type="dxa"/>
            <w:shd w:val="clear" w:color="auto" w:fill="auto"/>
            <w:vAlign w:val="center"/>
          </w:tcPr>
          <w:p>
            <w:pPr>
              <w:spacing w:before="40" w:after="40" w:line="259" w:lineRule="auto"/>
            </w:pPr>
            <w:r/>
            <w:r>
              <w:rPr>
                <w:rFonts w:ascii="Aptos" w:hAnsi="Aptos"/>
                <w:b w:val="0"/>
                <w:sz w:val="16"/>
              </w:rPr>
              <w:t>-fsanitize=address</w:t>
            </w:r>
          </w:p>
        </w:tc>
        <w:tc>
          <w:tcPr>
            <w:tcW w:w="3611" w:type="dxa"/>
            <w:shd w:val="clear" w:color="auto" w:fill="auto"/>
            <w:vAlign w:val="center"/>
          </w:tcPr>
          <w:p>
            <w:pPr>
              <w:spacing w:before="40" w:after="40" w:line="259" w:lineRule="auto"/>
            </w:pPr>
            <w:r/>
            <w:r>
              <w:rPr>
                <w:rFonts w:ascii="Aptos" w:hAnsi="Aptos"/>
                <w:b w:val="0"/>
                <w:sz w:val="16"/>
              </w:rPr>
              <w:t>Tests observe out-of-bounds memory access; use bounds checks even when tests pass.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blHeader w:val="true"/>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pPr>
            <w:r/>
            <w:r>
              <w:rPr>
                <w:rFonts w:ascii="Arial" w:hAnsi="Arial"/>
                <w:b/>
                <w:sz w:val="21"/>
              </w:rPr>
              <w:t>File Handling</w:t>
            </w:r>
          </w:p>
        </w:tc>
        <w:tc>
          <w:tcPr>
            <w:tcW w:w="1341" w:type="dxa"/>
            <w:tcMar>
              <w:top w:w="100" w:type="dxa"/>
              <w:left w:w="100" w:type="dxa"/>
              <w:bottom w:w="100" w:type="dxa"/>
              <w:right w:w="100" w:type="dxa"/>
            </w:tcMar>
            <w:vAlign w:val="center"/>
          </w:tcPr>
          <w:p>
            <w:pPr>
              <w:spacing w:before="0" w:after="0"/>
            </w:pPr>
            <w:r/>
            <w:r>
              <w:rPr>
                <w:rFonts w:ascii="Arial" w:hAnsi="Arial"/>
                <w:b w:val="0"/>
                <w:sz w:val="21"/>
              </w:rPr>
              <w:t>STD-009-CPP</w:t>
            </w:r>
          </w:p>
        </w:tc>
        <w:tc>
          <w:tcPr>
            <w:tcW w:w="7632" w:type="dxa"/>
            <w:tcMar>
              <w:top w:w="100" w:type="dxa"/>
              <w:left w:w="100" w:type="dxa"/>
              <w:bottom w:w="100" w:type="dxa"/>
              <w:right w:w="100" w:type="dxa"/>
            </w:tcMar>
            <w:vAlign w:val="top"/>
          </w:tcPr>
          <w:p>
            <w:pPr>
              <w:spacing w:before="0" w:after="60"/>
            </w:pPr>
            <w:r/>
            <w:r>
              <w:rPr>
                <w:rFonts w:ascii="Arial" w:hAnsi="Arial"/>
                <w:b/>
                <w:sz w:val="21"/>
              </w:rPr>
              <w:t>FIO51-CPP: Close files when they are no longer needed</w:t>
            </w:r>
          </w:p>
          <w:p>
            <w:pPr>
              <w:spacing w:before="0" w:after="0"/>
            </w:pPr>
            <w:r>
              <w:rPr>
                <w:rFonts w:ascii="Arial" w:hAnsi="Arial"/>
                <w:b/>
                <w:sz w:val="20"/>
              </w:rPr>
              <w:t xml:space="preserve">Rationale: </w:t>
            </w:r>
            <w:r>
              <w:rPr>
                <w:rFonts w:ascii="Arial" w:hAnsi="Arial"/>
                <w:sz w:val="20"/>
              </w:rPr>
              <w:t>Leaving files open can exhaust file descriptors, retain locks, or delay buffered writes. Use scoped C++ stream objects so resources are released reliably on normal and exceptional exits.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4CC66407" w14:textId="77777777" w:rsidTr="00001F14">
        <w:trPr>
          <w:trHeight w:val="26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A C-style file handle is opened manually, and the early return path forgets to close it. Repeated failures can leak operating-system resources.</w:t>
            </w:r>
          </w:p>
        </w:tc>
      </w:tr>
      <w:tr w:rsidR="00F72634" w14:paraId="25A0CD90"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FILE* file = std::fopen("audit.log", "a");</w:t>
              <w:br/>
              <w:t>if (!file) {</w:t>
              <w:br/>
              <w:t xml:space="preserve">    return;</w:t>
              <w:br/>
              <w:t>}</w:t>
              <w:br/>
              <w:br/>
              <w:t>if (!ready()) {</w:t>
              <w:br/>
              <w:t xml:space="preserve">    return;  // file is still open</w:t>
              <w:br/>
              <w:t>}</w:t>
              <w:br/>
              <w:t>std::fclose(file);</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08380B15" w14:textId="77777777" w:rsidTr="00001F14">
        <w:trPr>
          <w:trHeight w:val="8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The std::ofstream object follows RAII: its destructor closes the file automatically when the function leaves scope, including early returns.</w:t>
            </w:r>
          </w:p>
        </w:tc>
      </w:tr>
      <w:tr w:rsidR="00F72634" w14:paraId="4E6EA6E9"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#include &lt;fstream&gt;</w:t>
              <w:br/>
              <w:br/>
              <w:t>std::ofstream file("audit.log", std::ios::app);</w:t>
              <w:br/>
              <w:t>if (!file) {</w:t>
              <w:br/>
              <w:t xml:space="preserve">    return;</w:t>
              <w:br/>
              <w:t>}</w:t>
              <w:br/>
              <w:br/>
              <w:t>if (!ready()) {</w:t>
              <w:br/>
              <w:t xml:space="preserve">    return;</w:t>
              <w:br/>
              <w:t>}</w:t>
              <w:br/>
              <w:t>file &lt;&lt; "ready\n";</w:t>
            </w:r>
          </w:p>
        </w:tc>
      </w:tr>
    </w:tbl>
    <w:p w14:paraId="06061C9A"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780"/>
      </w:tblGrid>
      <w:tr w:rsidR="00B475A1" w14:paraId="7C2EC364" w14:textId="77777777" w:rsidTr="006D38A7">
        <w:trPr>
          <w:tblHeader/>
          <w:tblHeader w:val="true"/>
        </w:trPr>
        <w:tc>
          <w:tcPr>
            <w:tcW w:w="10780" w:type="dxa"/>
            <w:shd w:val="clear" w:color="auto" w:fill="auto"/>
            <w:tcMar>
              <w:top w:w="100" w:type="dxa"/>
              <w:left w:w="100" w:type="dxa"/>
              <w:bottom w:w="100" w:type="dxa"/>
              <w:right w:w="100" w:type="dxa"/>
            </w:tcMar>
            <w:vAlign w:val="center"/>
          </w:tcPr>
          <w:p>
            <w:pPr>
              <w:spacing w:before="40" w:after="40" w:line="259" w:lineRule="auto"/>
            </w:pPr>
            <w:r/>
            <w:r>
              <w:rPr>
                <w:rFonts w:ascii="Aptos" w:hAnsi="Aptos"/>
                <w:b w:val="0"/>
                <w:sz w:val="18"/>
              </w:rPr>
              <w:t>Principle mapping: 4 (Keep It Simple), 8 (Practice Defense in Depth), and 9 (Use Effective Quality Assurance Techniques): Use scoped file objects, verify open/write status, and test error paths to avoid leaks and missing audit output.</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blHeader w:val="true"/>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vAlign w:val="center"/>
          </w:tcPr>
          <w:p>
            <w:pPr>
              <w:spacing w:before="40" w:after="40" w:line="259" w:lineRule="auto"/>
            </w:pPr>
            <w:r/>
            <w:r>
              <w:rPr>
                <w:rFonts w:ascii="Aptos" w:hAnsi="Aptos"/>
                <w:b w:val="0"/>
                <w:sz w:val="17"/>
              </w:rPr>
              <w:t>Medium</w:t>
            </w:r>
          </w:p>
        </w:tc>
        <w:tc>
          <w:tcPr>
            <w:tcW w:w="1341" w:type="dxa"/>
            <w:shd w:val="clear" w:color="auto" w:fill="auto"/>
            <w:vAlign w:val="center"/>
          </w:tcPr>
          <w:p>
            <w:pPr>
              <w:spacing w:before="40" w:after="40" w:line="259" w:lineRule="auto"/>
            </w:pPr>
            <w:r/>
            <w:r>
              <w:rPr>
                <w:rFonts w:ascii="Aptos" w:hAnsi="Aptos"/>
                <w:b w:val="0"/>
                <w:sz w:val="17"/>
              </w:rPr>
              <w:t>Possible</w:t>
            </w:r>
          </w:p>
        </w:tc>
        <w:tc>
          <w:tcPr>
            <w:tcW w:w="4021" w:type="dxa"/>
            <w:shd w:val="clear" w:color="auto" w:fill="auto"/>
            <w:vAlign w:val="center"/>
          </w:tcPr>
          <w:p>
            <w:pPr>
              <w:spacing w:before="40" w:after="40" w:line="259" w:lineRule="auto"/>
            </w:pPr>
            <w:r/>
            <w:r>
              <w:rPr>
                <w:rFonts w:ascii="Aptos" w:hAnsi="Aptos"/>
                <w:b w:val="0"/>
                <w:sz w:val="17"/>
              </w:rPr>
              <w:t>Low</w:t>
            </w:r>
          </w:p>
        </w:tc>
        <w:tc>
          <w:tcPr>
            <w:tcW w:w="1807" w:type="dxa"/>
            <w:shd w:val="clear" w:color="auto" w:fill="auto"/>
            <w:vAlign w:val="center"/>
          </w:tcPr>
          <w:p>
            <w:pPr>
              <w:spacing w:before="40" w:after="40" w:line="259" w:lineRule="auto"/>
            </w:pPr>
            <w:r/>
            <w:r>
              <w:rPr>
                <w:rFonts w:ascii="Aptos" w:hAnsi="Aptos"/>
                <w:b w:val="0"/>
                <w:sz w:val="17"/>
              </w:rPr>
              <w:t>Medium</w:t>
            </w:r>
          </w:p>
        </w:tc>
        <w:tc>
          <w:tcPr>
            <w:tcW w:w="1805" w:type="dxa"/>
            <w:shd w:val="clear" w:color="auto" w:fill="auto"/>
            <w:vAlign w:val="center"/>
          </w:tcPr>
          <w:p>
            <w:pPr>
              <w:spacing w:before="40" w:after="40" w:line="259" w:lineRule="auto"/>
            </w:pPr>
            <w:r/>
            <w:r>
              <w:rPr>
                <w:rFonts w:ascii="Aptos" w:hAnsi="Aptos"/>
                <w:b w:val="0"/>
                <w:sz w:val="17"/>
              </w:rP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cantSplit/>
          <w:tblHeader w:val="true"/>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Cppcheck</w:t>
            </w:r>
          </w:p>
        </w:tc>
        <w:tc>
          <w:tcPr>
            <w:tcW w:w="1341" w:type="dxa"/>
            <w:shd w:val="clear" w:color="auto" w:fill="auto"/>
            <w:vAlign w:val="center"/>
          </w:tcPr>
          <w:p>
            <w:pPr>
              <w:spacing w:before="40" w:after="40" w:line="259" w:lineRule="auto"/>
            </w:pPr>
            <w:r/>
            <w:r>
              <w:rPr>
                <w:rFonts w:ascii="Aptos" w:hAnsi="Aptos"/>
                <w:b w:val="0"/>
                <w:sz w:val="16"/>
              </w:rPr>
              <w:t>2.16.0</w:t>
            </w:r>
          </w:p>
        </w:tc>
        <w:tc>
          <w:tcPr>
            <w:tcW w:w="4021" w:type="dxa"/>
            <w:shd w:val="clear" w:color="auto" w:fill="auto"/>
            <w:vAlign w:val="center"/>
          </w:tcPr>
          <w:p>
            <w:pPr>
              <w:spacing w:before="40" w:after="40" w:line="259" w:lineRule="auto"/>
            </w:pPr>
            <w:r/>
            <w:r>
              <w:rPr>
                <w:rFonts w:ascii="Aptos" w:hAnsi="Aptos"/>
                <w:b w:val="0"/>
                <w:sz w:val="16"/>
              </w:rPr>
              <w:t>resourceLeak; useClosedFile</w:t>
            </w:r>
          </w:p>
        </w:tc>
        <w:tc>
          <w:tcPr>
            <w:tcW w:w="3611" w:type="dxa"/>
            <w:shd w:val="clear" w:color="auto" w:fill="auto"/>
            <w:vAlign w:val="center"/>
          </w:tcPr>
          <w:p>
            <w:pPr>
              <w:spacing w:before="40" w:after="40" w:line="259" w:lineRule="auto"/>
            </w:pPr>
            <w:r/>
            <w:r>
              <w:rPr>
                <w:rFonts w:ascii="Aptos" w:hAnsi="Aptos"/>
                <w:b w:val="0"/>
                <w:sz w:val="16"/>
              </w:rPr>
              <w:t>Detects some leaked or invalid file-handle lifetimes in C-style code.</w:t>
            </w:r>
          </w:p>
        </w:tc>
      </w:tr>
      <w:tr w:rsidR="00B475A1" w14:paraId="64F0AC3A"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CTest</w:t>
            </w:r>
          </w:p>
        </w:tc>
        <w:tc>
          <w:tcPr>
            <w:tcW w:w="1341" w:type="dxa"/>
            <w:shd w:val="clear" w:color="auto" w:fill="auto"/>
            <w:vAlign w:val="center"/>
          </w:tcPr>
          <w:p>
            <w:pPr>
              <w:spacing w:before="40" w:after="40" w:line="259" w:lineRule="auto"/>
            </w:pPr>
            <w:r/>
            <w:r>
              <w:rPr>
                <w:rFonts w:ascii="Aptos" w:hAnsi="Aptos"/>
                <w:b w:val="0"/>
                <w:sz w:val="16"/>
              </w:rPr>
              <w:t>3.30.0</w:t>
            </w:r>
          </w:p>
        </w:tc>
        <w:tc>
          <w:tcPr>
            <w:tcW w:w="4021" w:type="dxa"/>
            <w:shd w:val="clear" w:color="auto" w:fill="auto"/>
            <w:vAlign w:val="center"/>
          </w:tcPr>
          <w:p>
            <w:pPr>
              <w:spacing w:before="40" w:after="40" w:line="259" w:lineRule="auto"/>
            </w:pPr>
            <w:r/>
            <w:r>
              <w:rPr>
                <w:rFonts w:ascii="Aptos" w:hAnsi="Aptos"/>
                <w:b w:val="0"/>
                <w:sz w:val="16"/>
              </w:rPr>
              <w:t>early-return file-lifecycle tests</w:t>
            </w:r>
          </w:p>
        </w:tc>
        <w:tc>
          <w:tcPr>
            <w:tcW w:w="3611" w:type="dxa"/>
            <w:shd w:val="clear" w:color="auto" w:fill="auto"/>
            <w:vAlign w:val="center"/>
          </w:tcPr>
          <w:p>
            <w:pPr>
              <w:spacing w:before="40" w:after="40" w:line="259" w:lineRule="auto"/>
            </w:pPr>
            <w:r/>
            <w:r>
              <w:rPr>
                <w:rFonts w:ascii="Aptos" w:hAnsi="Aptos"/>
                <w:b w:val="0"/>
                <w:sz w:val="16"/>
              </w:rPr>
              <w:t>Checks cleanup under failure paths; static detection alone cannot confirm durable audit records.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blHeader w:val="true"/>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pPr>
            <w:r/>
            <w:r>
              <w:rPr>
                <w:rFonts w:ascii="Arial" w:hAnsi="Arial"/>
                <w:b/>
                <w:sz w:val="21"/>
              </w:rPr>
              <w:t>Concurrency</w:t>
            </w:r>
          </w:p>
        </w:tc>
        <w:tc>
          <w:tcPr>
            <w:tcW w:w="1341" w:type="dxa"/>
            <w:tcMar>
              <w:top w:w="100" w:type="dxa"/>
              <w:left w:w="100" w:type="dxa"/>
              <w:bottom w:w="100" w:type="dxa"/>
              <w:right w:w="100" w:type="dxa"/>
            </w:tcMar>
            <w:vAlign w:val="center"/>
          </w:tcPr>
          <w:p>
            <w:pPr>
              <w:spacing w:before="0" w:after="0"/>
            </w:pPr>
            <w:r/>
            <w:r>
              <w:rPr>
                <w:rFonts w:ascii="Arial" w:hAnsi="Arial"/>
                <w:b w:val="0"/>
                <w:sz w:val="21"/>
              </w:rPr>
              <w:t>STD-010-CPP</w:t>
            </w:r>
          </w:p>
        </w:tc>
        <w:tc>
          <w:tcPr>
            <w:tcW w:w="7632" w:type="dxa"/>
            <w:tcMar>
              <w:top w:w="100" w:type="dxa"/>
              <w:left w:w="100" w:type="dxa"/>
              <w:bottom w:w="100" w:type="dxa"/>
              <w:right w:w="100" w:type="dxa"/>
            </w:tcMar>
            <w:vAlign w:val="top"/>
          </w:tcPr>
          <w:p>
            <w:pPr>
              <w:spacing w:before="0" w:after="60"/>
            </w:pPr>
            <w:r/>
            <w:r>
              <w:rPr>
                <w:rFonts w:ascii="Arial" w:hAnsi="Arial"/>
                <w:b/>
                <w:sz w:val="21"/>
              </w:rPr>
              <w:t>CON53-CPP: Avoid deadlock by locking in a predefined order</w:t>
            </w:r>
          </w:p>
          <w:p>
            <w:pPr>
              <w:spacing w:before="0" w:after="0"/>
            </w:pPr>
            <w:r>
              <w:rPr>
                <w:rFonts w:ascii="Arial" w:hAnsi="Arial"/>
                <w:b/>
                <w:sz w:val="20"/>
              </w:rPr>
              <w:t xml:space="preserve">Rationale: </w:t>
            </w:r>
            <w:r>
              <w:rPr>
                <w:rFonts w:ascii="Arial" w:hAnsi="Arial"/>
                <w:sz w:val="20"/>
              </w:rPr>
              <w:t>Acquiring the same set of mutexes in inconsistent orders can create a circular wait and deadlock. Use one lock order or a deadlock-aware locking facility for all code paths.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144A562E" w14:textId="77777777" w:rsidTr="00001F14">
        <w:trPr>
          <w:trHeight w:val="26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The two functions acquire the same mutexes in opposite orders. Two threads running these functions at the same time can each wait forever for the other lock.</w:t>
            </w:r>
          </w:p>
        </w:tc>
      </w:tr>
      <w:tr w:rsidR="00F72634" w14:paraId="23207A43"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void save() {</w:t>
              <w:br/>
              <w:t xml:space="preserve">    std::lock_guard&lt;std::mutex&gt; a(accountMutex);</w:t>
              <w:br/>
              <w:t xml:space="preserve">    std::lock_guard&lt;std::mutex&gt; b(logMutex);</w:t>
              <w:br/>
              <w:t>}</w:t>
              <w:br/>
              <w:br/>
              <w:t>void audit() {</w:t>
              <w:br/>
              <w:t xml:space="preserve">    std::lock_guard&lt;std::mutex&gt; b(logMutex);</w:t>
              <w:br/>
              <w:t xml:space="preserve">    std::lock_guard&lt;std::mutex&gt; a(accountMutex);</w:t>
              <w:b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800"/>
      </w:tblGrid>
      <w:tr w:rsidR="00F72634" w14:paraId="25843B9B" w14:textId="77777777" w:rsidTr="00001F14">
        <w:trPr>
          <w:trHeight w:val="89"/>
          <w:tblHeader/>
          <w:cantSplit/>
          <w:tblHeader w:val="true"/>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cantSplit/>
        </w:trPr>
        <w:tc>
          <w:tcPr>
            <w:tcW w:w="10800" w:type="dxa"/>
            <w:tcBorders>
              <w:top w:val="single" w:sz="4" w:space="0" w:color="000000"/>
            </w:tcBorders>
            <w:shd w:val="clear" w:color="auto" w:fill="EFEFEF"/>
            <w:tcMar>
              <w:top w:w="100" w:type="dxa"/>
              <w:left w:w="100" w:type="dxa"/>
              <w:bottom w:w="100" w:type="dxa"/>
              <w:right w:w="100" w:type="dxa"/>
            </w:tcMar>
            <w:vAlign w:val="top"/>
          </w:tcPr>
          <w:p>
            <w:pPr>
              <w:spacing w:before="0" w:after="0"/>
            </w:pPr>
            <w:r/>
            <w:r>
              <w:rPr>
                <w:rFonts w:ascii="Arial" w:hAnsi="Arial"/>
                <w:sz w:val="21"/>
              </w:rPr>
              <w:t>std::scoped_lock acquires both mutexes with a deadlock-avoidance algorithm, giving both code paths one consistent locking strategy.</w:t>
            </w:r>
          </w:p>
        </w:tc>
      </w:tr>
      <w:tr w:rsidR="00F72634" w14:paraId="66F887A3" w14:textId="77777777" w:rsidTr="00001F14">
        <w:trPr>
          <w:trHeight w:val="460"/>
          <w:cantSplit/>
        </w:trPr>
        <w:tc>
          <w:tcPr>
            <w:tcW w:w="10800" w:type="dxa"/>
            <w:tcMar>
              <w:top w:w="100" w:type="dxa"/>
              <w:left w:w="100" w:type="dxa"/>
              <w:bottom w:w="100" w:type="dxa"/>
              <w:right w:w="100" w:type="dxa"/>
            </w:tcMar>
            <w:vAlign w:val="top"/>
          </w:tcPr>
          <w:p>
            <w:pPr>
              <w:spacing w:before="0" w:after="0" w:line="240" w:lineRule="auto"/>
              <w:ind w:left="173" w:right="72"/>
            </w:pPr>
            <w:r/>
            <w:r>
              <w:rPr>
                <w:rFonts w:ascii="Courier New" w:hAnsi="Courier New"/>
                <w:sz w:val="24"/>
              </w:rPr>
              <w:t>void save() {</w:t>
              <w:br/>
              <w:t xml:space="preserve">    std::scoped_lock lock(accountMutex, logMutex);</w:t>
              <w:br/>
              <w:t xml:space="preserve">    // Update account and log.</w:t>
              <w:br/>
              <w:t>}</w:t>
              <w:br/>
              <w:br/>
              <w:t>void audit() {</w:t>
              <w:br/>
              <w:t xml:space="preserve">    std::scoped_lock lock(accountMutex, logMutex);</w:t>
              <w:br/>
              <w:t xml:space="preserve">    // Read account and log.</w:t>
              <w:br/>
              <w:t>}</w:t>
            </w:r>
          </w:p>
        </w:tc>
      </w:tr>
    </w:tbl>
    <w:p w14:paraId="67786E73" w14:textId="77777777"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0780"/>
      </w:tblGrid>
      <w:tr w:rsidR="00381847" w14:paraId="072682BA" w14:textId="77777777" w:rsidTr="006D38A7">
        <w:trPr>
          <w:tblHeader/>
          <w:tblHeader w:val="true"/>
        </w:trPr>
        <w:tc>
          <w:tcPr>
            <w:tcW w:w="10780" w:type="dxa"/>
            <w:shd w:val="clear" w:color="auto" w:fill="auto"/>
            <w:tcMar>
              <w:top w:w="100" w:type="dxa"/>
              <w:left w:w="100" w:type="dxa"/>
              <w:bottom w:w="100" w:type="dxa"/>
              <w:right w:w="100" w:type="dxa"/>
            </w:tcMar>
            <w:vAlign w:val="center"/>
          </w:tcPr>
          <w:p>
            <w:pPr>
              <w:spacing w:before="40" w:after="40" w:line="259" w:lineRule="auto"/>
            </w:pPr>
            <w:r/>
            <w:r>
              <w:rPr>
                <w:rFonts w:ascii="Aptos" w:hAnsi="Aptos"/>
                <w:b w:val="0"/>
                <w:sz w:val="18"/>
              </w:rPr>
              <w:t>Principle mapping: 3 (Architect and Design for Security Policies), 8 (Practice Defense in Depth), and 9 (Use Effective Quality Assurance Techniques): Lock-order design prevents circular waits; multi-thread tests and review cover cases that static scans can miss.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blHeader w:val="true"/>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vAlign w:val="center"/>
          </w:tcPr>
          <w:p>
            <w:pPr>
              <w:spacing w:before="40" w:after="40" w:line="259" w:lineRule="auto"/>
            </w:pPr>
            <w:r/>
            <w:r>
              <w:rPr>
                <w:rFonts w:ascii="Aptos" w:hAnsi="Aptos"/>
                <w:b w:val="0"/>
                <w:sz w:val="17"/>
              </w:rPr>
              <w:t>High</w:t>
            </w:r>
          </w:p>
        </w:tc>
        <w:tc>
          <w:tcPr>
            <w:tcW w:w="1341" w:type="dxa"/>
            <w:shd w:val="clear" w:color="auto" w:fill="auto"/>
            <w:vAlign w:val="center"/>
          </w:tcPr>
          <w:p>
            <w:pPr>
              <w:spacing w:before="40" w:after="40" w:line="259" w:lineRule="auto"/>
            </w:pPr>
            <w:r/>
            <w:r>
              <w:rPr>
                <w:rFonts w:ascii="Aptos" w:hAnsi="Aptos"/>
                <w:b w:val="0"/>
                <w:sz w:val="17"/>
              </w:rPr>
              <w:t>Possible</w:t>
            </w:r>
          </w:p>
        </w:tc>
        <w:tc>
          <w:tcPr>
            <w:tcW w:w="4021" w:type="dxa"/>
            <w:shd w:val="clear" w:color="auto" w:fill="auto"/>
            <w:vAlign w:val="center"/>
          </w:tcPr>
          <w:p>
            <w:pPr>
              <w:spacing w:before="40" w:after="40" w:line="259" w:lineRule="auto"/>
            </w:pPr>
            <w:r/>
            <w:r>
              <w:rPr>
                <w:rFonts w:ascii="Aptos" w:hAnsi="Aptos"/>
                <w:b w:val="0"/>
                <w:sz w:val="17"/>
              </w:rPr>
              <w:t>Medium</w:t>
            </w:r>
          </w:p>
        </w:tc>
        <w:tc>
          <w:tcPr>
            <w:tcW w:w="1807" w:type="dxa"/>
            <w:shd w:val="clear" w:color="auto" w:fill="auto"/>
            <w:vAlign w:val="center"/>
          </w:tcPr>
          <w:p>
            <w:pPr>
              <w:spacing w:before="40" w:after="40" w:line="259" w:lineRule="auto"/>
            </w:pPr>
            <w:r/>
            <w:r>
              <w:rPr>
                <w:rFonts w:ascii="Aptos" w:hAnsi="Aptos"/>
                <w:b w:val="0"/>
                <w:sz w:val="17"/>
              </w:rPr>
              <w:t>High</w:t>
            </w:r>
          </w:p>
        </w:tc>
        <w:tc>
          <w:tcPr>
            <w:tcW w:w="1805" w:type="dxa"/>
            <w:shd w:val="clear" w:color="auto" w:fill="auto"/>
            <w:vAlign w:val="center"/>
          </w:tcPr>
          <w:p>
            <w:pPr>
              <w:spacing w:before="40" w:after="40" w:line="259" w:lineRule="auto"/>
            </w:pPr>
            <w:r/>
            <w:r>
              <w:rPr>
                <w:rFonts w:ascii="Aptos" w:hAnsi="Aptos"/>
                <w:b w:val="0"/>
                <w:sz w:val="17"/>
              </w:rP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cantSplit/>
          <w:tblHeader w:val="true"/>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Clang ThreadSanitizer</w:t>
            </w:r>
          </w:p>
        </w:tc>
        <w:tc>
          <w:tcPr>
            <w:tcW w:w="1341" w:type="dxa"/>
            <w:shd w:val="clear" w:color="auto" w:fill="auto"/>
            <w:vAlign w:val="center"/>
          </w:tcPr>
          <w:p>
            <w:pPr>
              <w:spacing w:before="40" w:after="40" w:line="259" w:lineRule="auto"/>
            </w:pPr>
            <w:r/>
            <w:r>
              <w:rPr>
                <w:rFonts w:ascii="Aptos" w:hAnsi="Aptos"/>
                <w:b w:val="0"/>
                <w:sz w:val="16"/>
              </w:rPr>
              <w:t>18.1.8</w:t>
            </w:r>
          </w:p>
        </w:tc>
        <w:tc>
          <w:tcPr>
            <w:tcW w:w="4021" w:type="dxa"/>
            <w:shd w:val="clear" w:color="auto" w:fill="auto"/>
            <w:vAlign w:val="center"/>
          </w:tcPr>
          <w:p>
            <w:pPr>
              <w:spacing w:before="40" w:after="40" w:line="259" w:lineRule="auto"/>
            </w:pPr>
            <w:r/>
            <w:r>
              <w:rPr>
                <w:rFonts w:ascii="Aptos" w:hAnsi="Aptos"/>
                <w:b w:val="0"/>
                <w:sz w:val="16"/>
              </w:rPr>
              <w:t>-fsanitize=thread; lock-order feedback</w:t>
            </w:r>
          </w:p>
        </w:tc>
        <w:tc>
          <w:tcPr>
            <w:tcW w:w="3611" w:type="dxa"/>
            <w:shd w:val="clear" w:color="auto" w:fill="auto"/>
            <w:vAlign w:val="center"/>
          </w:tcPr>
          <w:p>
            <w:pPr>
              <w:spacing w:before="40" w:after="40" w:line="259" w:lineRule="auto"/>
            </w:pPr>
            <w:r/>
            <w:r>
              <w:rPr>
                <w:rFonts w:ascii="Aptos" w:hAnsi="Aptos"/>
                <w:b w:val="0"/>
                <w:sz w:val="16"/>
              </w:rPr>
              <w:t>Instrumented concurrent tests may flag lock inversion and synchronization defects; schedule-dependent.</w:t>
            </w:r>
          </w:p>
        </w:tc>
      </w:tr>
      <w:tr w:rsidR="00381847" w14:paraId="3EDB9E1C" w14:textId="77777777" w:rsidTr="00001F14">
        <w:trPr>
          <w:trHeight w:val="460"/>
          <w:cantSplit/>
        </w:trPr>
        <w:tc>
          <w:tcPr>
            <w:tcW w:w="1807" w:type="dxa"/>
            <w:shd w:val="clear" w:color="auto" w:fill="auto"/>
            <w:vAlign w:val="center"/>
          </w:tcPr>
          <w:p>
            <w:pPr>
              <w:spacing w:before="40" w:after="40" w:line="259" w:lineRule="auto"/>
            </w:pPr>
            <w:r/>
            <w:r>
              <w:rPr>
                <w:rFonts w:ascii="Aptos" w:hAnsi="Aptos"/>
                <w:b w:val="0"/>
                <w:sz w:val="16"/>
              </w:rPr>
              <w:t>Valgrind Helgrind</w:t>
            </w:r>
          </w:p>
        </w:tc>
        <w:tc>
          <w:tcPr>
            <w:tcW w:w="1341" w:type="dxa"/>
            <w:shd w:val="clear" w:color="auto" w:fill="auto"/>
            <w:vAlign w:val="center"/>
          </w:tcPr>
          <w:p>
            <w:pPr>
              <w:spacing w:before="40" w:after="40" w:line="259" w:lineRule="auto"/>
            </w:pPr>
            <w:r/>
            <w:r>
              <w:rPr>
                <w:rFonts w:ascii="Aptos" w:hAnsi="Aptos"/>
                <w:b w:val="0"/>
                <w:sz w:val="16"/>
              </w:rPr>
              <w:t>3.23.0</w:t>
            </w:r>
          </w:p>
        </w:tc>
        <w:tc>
          <w:tcPr>
            <w:tcW w:w="4021" w:type="dxa"/>
            <w:shd w:val="clear" w:color="auto" w:fill="auto"/>
            <w:vAlign w:val="center"/>
          </w:tcPr>
          <w:p>
            <w:pPr>
              <w:spacing w:before="40" w:after="40" w:line="259" w:lineRule="auto"/>
            </w:pPr>
            <w:r/>
            <w:r>
              <w:rPr>
                <w:rFonts w:ascii="Aptos" w:hAnsi="Aptos"/>
                <w:b w:val="0"/>
                <w:sz w:val="16"/>
              </w:rPr>
              <w:t>--tool=helgrind; lock-order</w:t>
            </w:r>
          </w:p>
        </w:tc>
        <w:tc>
          <w:tcPr>
            <w:tcW w:w="3611" w:type="dxa"/>
            <w:shd w:val="clear" w:color="auto" w:fill="auto"/>
            <w:vAlign w:val="center"/>
          </w:tcPr>
          <w:p>
            <w:pPr>
              <w:spacing w:before="40" w:after="40" w:line="259" w:lineRule="auto"/>
            </w:pPr>
            <w:r/>
            <w:r>
              <w:rPr>
                <w:rFonts w:ascii="Aptos" w:hAnsi="Aptos"/>
                <w:b w:val="0"/>
                <w:sz w:val="16"/>
              </w:rPr>
              <w:t>Linux test runs can reveal inconsistent lock acquisition order; use alongside code review.</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spacing w:after="120"/>
        <w:rPr>
          <w:sz w:val="22"/>
          <w:szCs w:val="22"/>
        </w:rPr>
      </w:pPr>
      <w:r>
        <w:rPr>
          <w:sz w:val="20"/>
        </w:rPr>
        <w:t>Policy implementation proposal: The following controls translate Green Pace secure-coding practices into reviewable DevSecOps requirements. Risk ratings below are initial qualitative assessments, not findings from production scanning. The suggested analyzer versions are example pinned baselines to confirm and maintain when tools are installed.</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spacing w:after="120"/>
        <w:ind w:left="720"/>
        <w:rPr>
          <w:sz w:val="22"/>
          <w:szCs w:val="22"/>
        </w:rPr>
      </w:pPr>
      <w:r>
        <w:rPr>
          <w:sz w:val="20"/>
        </w:rPr>
        <w:t>The ten coding standards above preserve the Module Three explanations and teaching examples and now include principle mappings, threat evaluations, and proposed automated checks. Engineers shall apply the rule at design and code-review time; an approved exception must identify compensating controls and an expiration date.</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spacing w:after="120"/>
        <w:ind w:left="720"/>
        <w:rPr>
          <w:sz w:val="22"/>
          <w:szCs w:val="22"/>
        </w:rPr>
      </w:pPr>
      <w:r>
        <w:rPr>
          <w:sz w:val="20"/>
        </w:rPr>
        <w:t>For every coding standard, severity estimates impact, likelihood estimates exposure in an ordinary C++ application, remediation cost estimates effort, and priority indicates triage urgency. Level 1 means minimal concern and Level 5 means the greatest concern. These are prospective planning judgments; the security team should recalibrate them using actual code inventory, incidents, environment, and scanner results.</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spacing w:after="120"/>
        <w:ind w:left="720"/>
        <w:rPr>
          <w:sz w:val="22"/>
          <w:szCs w:val="22"/>
        </w:rPr>
      </w:pPr>
      <w:r>
        <w:rPr>
          <w:sz w:val="20"/>
        </w:rPr>
        <w:t>Each standard identifies a proposed tool version and specific checker, compiler switch, or executable test. Automated detectors produce evidence but cannot establish complete compliance; false positives, unsupported language features, explicit casts, and untested execution paths must be addressed during review. Links for key checkers appear in the reference notes.</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spacing w:after="120"/>
        <w:ind w:left="720"/>
        <w:rPr>
          <w:sz w:val="22"/>
          <w:szCs w:val="22"/>
        </w:rPr>
      </w:pPr>
      <w:r>
        <w:rPr>
          <w:sz w:val="20"/>
        </w:rPr>
        <w:t>The DevSecOps infinity-loop illustration places security in Create, Plan, Verify, Preprod, Adapt, Release, Prevent, Detect, Respond, and Predict. The implementation below names the automated controls that should be attached to these stages.</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spacing w:after="120"/>
        <w:ind w:left="720"/>
      </w:pPr>
      <w:r>
        <w:rPr>
          <w:sz w:val="20"/>
        </w:rPr>
        <w:t>Green Pace should extend the current DevOps pipeline with versioned security checks rather than create a second manual workflow. Each build should record its policy version, scan settings, test results, reviewer approvals, and exception identifiers so an auditor can trace a release to the controls that were enforced.</w:t>
      </w:r>
    </w:p>
    <w:p w14:paraId="07184003" w14:textId="77777777" w:rsidR="00381847" w:rsidRDefault="00381847">
      <w:pPr>
        <w:ind w:left="720"/>
      </w:pPr>
    </w:p>
    <w:p w14:paraId="485C7819" w14:textId="77777777" w:rsidR="00381847" w:rsidRDefault="00E769D9">
      <w:pPr>
        <w:spacing w:after="120"/>
        <w:ind w:left="720"/>
      </w:pPr>
      <w:r>
        <w:rPr>
          <w:sz w:val="20"/>
        </w:rPr>
        <w:t>In Create and Plan, IDE warnings, security plug-ins, threat modeling, and coding-rule training make the requirements visible before code is committed. During Verify, continuous integration should build with strong compiler warnings, run Cppcheck and clang-tidy, execute unit tests and sanitizers, and scan dependency changes. Findings should be labeled with the relevant STD-001-CPP through STD-010-CPP policy entry. High-priority unresolved issues block promotion unless an approved, time-limited exception exists. During Preprod, execute integration, negative-input, fuzz, release-configuration, file-lifecycle, and multithreaded tests. Then use the Adapt and Release stages to check software signatures, verify package integrity, and preserve the signed scan/test evidence alongside the deployed artifact.</w:t>
        <w:br/>
        <w:br/>
        <w:t>On the operations side, Prevent uses signature and integrity checks, least-privilege access, network safeguards, and defense-in-depth hardening. Detect correlates application/API logs, runtime alerts, and vulnerability information with the existing operating-system, firewall, and anti-malware logs. Respond opens tracked incidents, contains confirmed threats, restores service, and sends root causes back to the Plan and Create stages. Predict uses periodic analysis of recurring defects, incident trends, and dependency advisories to update the checks. The security champion and engineering lead jointly review exceptions; the OCISO can audit stored evidence and require remediation when the threshold is not met. This approach automates routine enforcement while keeping human judgment for residual risk and policy changes.</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spacing w:after="120"/>
        <w:ind w:left="720"/>
      </w:pPr>
      <w:r>
        <w:rPr>
          <w:sz w:val="20"/>
        </w:rPr>
        <w:t>The ten coding standards are listed in numerical order. These are proposed initial risk ratings for the Green Pace policy rather than measured production frequencies; any future system-architecture standards should be added here in the same format when formally adopted.</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autofit"/>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blHeader w:val="true"/>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pPr>
              <w:spacing w:before="40" w:after="40" w:line="259" w:lineRule="auto"/>
            </w:pPr>
            <w:r/>
            <w:r>
              <w:rPr>
                <w:rFonts w:ascii="Aptos" w:hAnsi="Aptos"/>
                <w:b w:val="0"/>
                <w:sz w:val="17"/>
              </w:rPr>
              <w:t>STD-001-CPP</w:t>
            </w:r>
          </w:p>
        </w:tc>
        <w:tc>
          <w:tcPr>
            <w:tcW w:w="1434" w:type="dxa"/>
            <w:vAlign w:val="center"/>
          </w:tcPr>
          <w:p>
            <w:pPr>
              <w:spacing w:before="40" w:after="40" w:line="259" w:lineRule="auto"/>
            </w:pPr>
            <w:r/>
            <w:r>
              <w:rPr>
                <w:rFonts w:ascii="Aptos" w:hAnsi="Aptos"/>
                <w:b w:val="0"/>
                <w:sz w:val="17"/>
              </w:rPr>
              <w:t>High</w:t>
            </w:r>
          </w:p>
        </w:tc>
        <w:tc>
          <w:tcPr>
            <w:tcW w:w="1349" w:type="dxa"/>
            <w:vAlign w:val="center"/>
          </w:tcPr>
          <w:p>
            <w:pPr>
              <w:spacing w:before="40" w:after="40" w:line="259" w:lineRule="auto"/>
            </w:pPr>
            <w:r/>
            <w:r>
              <w:rPr>
                <w:rFonts w:ascii="Aptos" w:hAnsi="Aptos"/>
                <w:b w:val="0"/>
                <w:sz w:val="17"/>
              </w:rPr>
              <w:t>Possible</w:t>
            </w:r>
          </w:p>
        </w:tc>
        <w:tc>
          <w:tcPr>
            <w:tcW w:w="1856" w:type="dxa"/>
            <w:vAlign w:val="center"/>
          </w:tcPr>
          <w:p>
            <w:pPr>
              <w:spacing w:before="40" w:after="40" w:line="259" w:lineRule="auto"/>
            </w:pPr>
            <w:r/>
            <w:r>
              <w:rPr>
                <w:rFonts w:ascii="Aptos" w:hAnsi="Aptos"/>
                <w:b w:val="0"/>
                <w:sz w:val="17"/>
              </w:rPr>
              <w:t>Low</w:t>
            </w:r>
          </w:p>
        </w:tc>
        <w:tc>
          <w:tcPr>
            <w:tcW w:w="2041" w:type="dxa"/>
            <w:vAlign w:val="center"/>
          </w:tcPr>
          <w:p>
            <w:pPr>
              <w:spacing w:before="40" w:after="40" w:line="259" w:lineRule="auto"/>
            </w:pPr>
            <w:r/>
            <w:r>
              <w:rPr>
                <w:rFonts w:ascii="Aptos" w:hAnsi="Aptos"/>
                <w:b w:val="0"/>
                <w:sz w:val="17"/>
              </w:rPr>
              <w:t>High</w:t>
            </w:r>
          </w:p>
        </w:tc>
        <w:tc>
          <w:tcPr>
            <w:tcW w:w="2680" w:type="dxa"/>
            <w:vAlign w:val="center"/>
          </w:tcPr>
          <w:p>
            <w:pPr>
              <w:spacing w:before="40" w:after="40" w:line="259" w:lineRule="auto"/>
            </w:pPr>
            <w:r/>
            <w:r>
              <w:rPr>
                <w:rFonts w:ascii="Aptos" w:hAnsi="Aptos"/>
                <w:b w:val="0"/>
                <w:sz w:val="17"/>
              </w:rPr>
              <w:t>4</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pPr>
              <w:spacing w:before="40" w:after="40" w:line="259" w:lineRule="auto"/>
            </w:pPr>
            <w:r/>
            <w:r>
              <w:rPr>
                <w:rFonts w:ascii="Aptos" w:hAnsi="Aptos"/>
                <w:b w:val="0"/>
                <w:sz w:val="17"/>
              </w:rPr>
              <w:t>STD-002-CPP</w:t>
            </w:r>
          </w:p>
        </w:tc>
        <w:tc>
          <w:tcPr>
            <w:tcW w:w="1434" w:type="dxa"/>
            <w:vAlign w:val="center"/>
          </w:tcPr>
          <w:p>
            <w:pPr>
              <w:spacing w:before="40" w:after="40" w:line="259" w:lineRule="auto"/>
            </w:pPr>
            <w:r/>
            <w:r>
              <w:rPr>
                <w:rFonts w:ascii="Aptos" w:hAnsi="Aptos"/>
                <w:b w:val="0"/>
                <w:sz w:val="17"/>
              </w:rPr>
              <w:t>High</w:t>
            </w:r>
          </w:p>
        </w:tc>
        <w:tc>
          <w:tcPr>
            <w:tcW w:w="1349" w:type="dxa"/>
            <w:vAlign w:val="center"/>
          </w:tcPr>
          <w:p>
            <w:pPr>
              <w:spacing w:before="40" w:after="40" w:line="259" w:lineRule="auto"/>
            </w:pPr>
            <w:r/>
            <w:r>
              <w:rPr>
                <w:rFonts w:ascii="Aptos" w:hAnsi="Aptos"/>
                <w:b w:val="0"/>
                <w:sz w:val="17"/>
              </w:rPr>
              <w:t>Possible</w:t>
            </w:r>
          </w:p>
        </w:tc>
        <w:tc>
          <w:tcPr>
            <w:tcW w:w="1856" w:type="dxa"/>
            <w:vAlign w:val="center"/>
          </w:tcPr>
          <w:p>
            <w:pPr>
              <w:spacing w:before="40" w:after="40" w:line="259" w:lineRule="auto"/>
            </w:pPr>
            <w:r/>
            <w:r>
              <w:rPr>
                <w:rFonts w:ascii="Aptos" w:hAnsi="Aptos"/>
                <w:b w:val="0"/>
                <w:sz w:val="17"/>
              </w:rPr>
              <w:t>Low</w:t>
            </w:r>
          </w:p>
        </w:tc>
        <w:tc>
          <w:tcPr>
            <w:tcW w:w="2041" w:type="dxa"/>
            <w:vAlign w:val="center"/>
          </w:tcPr>
          <w:p>
            <w:pPr>
              <w:spacing w:before="40" w:after="40" w:line="259" w:lineRule="auto"/>
            </w:pPr>
            <w:r/>
            <w:r>
              <w:rPr>
                <w:rFonts w:ascii="Aptos" w:hAnsi="Aptos"/>
                <w:b w:val="0"/>
                <w:sz w:val="17"/>
              </w:rPr>
              <w:t>High</w:t>
            </w:r>
          </w:p>
        </w:tc>
        <w:tc>
          <w:tcPr>
            <w:tcW w:w="2680" w:type="dxa"/>
            <w:vAlign w:val="center"/>
          </w:tcPr>
          <w:p>
            <w:pPr>
              <w:spacing w:before="40" w:after="40" w:line="259" w:lineRule="auto"/>
            </w:pPr>
            <w:r/>
            <w:r>
              <w:rPr>
                <w:rFonts w:ascii="Aptos" w:hAnsi="Aptos"/>
                <w:b w:val="0"/>
                <w:sz w:val="17"/>
              </w:rP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pPr>
              <w:spacing w:before="40" w:after="40" w:line="259" w:lineRule="auto"/>
            </w:pPr>
            <w:r/>
            <w:r>
              <w:rPr>
                <w:rFonts w:ascii="Aptos" w:hAnsi="Aptos"/>
                <w:b w:val="0"/>
                <w:sz w:val="17"/>
              </w:rPr>
              <w:t>STD-003-CPP</w:t>
            </w:r>
          </w:p>
        </w:tc>
        <w:tc>
          <w:tcPr>
            <w:tcW w:w="1434" w:type="dxa"/>
            <w:vAlign w:val="center"/>
          </w:tcPr>
          <w:p>
            <w:pPr>
              <w:spacing w:before="40" w:after="40" w:line="259" w:lineRule="auto"/>
            </w:pPr>
            <w:r/>
            <w:r>
              <w:rPr>
                <w:rFonts w:ascii="Aptos" w:hAnsi="Aptos"/>
                <w:b w:val="0"/>
                <w:sz w:val="17"/>
              </w:rPr>
              <w:t>High</w:t>
            </w:r>
          </w:p>
        </w:tc>
        <w:tc>
          <w:tcPr>
            <w:tcW w:w="1349" w:type="dxa"/>
            <w:vAlign w:val="center"/>
          </w:tcPr>
          <w:p>
            <w:pPr>
              <w:spacing w:before="40" w:after="40" w:line="259" w:lineRule="auto"/>
            </w:pPr>
            <w:r/>
            <w:r>
              <w:rPr>
                <w:rFonts w:ascii="Aptos" w:hAnsi="Aptos"/>
                <w:b w:val="0"/>
                <w:sz w:val="17"/>
              </w:rPr>
              <w:t>Likely</w:t>
            </w:r>
          </w:p>
        </w:tc>
        <w:tc>
          <w:tcPr>
            <w:tcW w:w="1856" w:type="dxa"/>
            <w:vAlign w:val="center"/>
          </w:tcPr>
          <w:p>
            <w:pPr>
              <w:spacing w:before="40" w:after="40" w:line="259" w:lineRule="auto"/>
            </w:pPr>
            <w:r/>
            <w:r>
              <w:rPr>
                <w:rFonts w:ascii="Aptos" w:hAnsi="Aptos"/>
                <w:b w:val="0"/>
                <w:sz w:val="17"/>
              </w:rPr>
              <w:t>Medium</w:t>
            </w:r>
          </w:p>
        </w:tc>
        <w:tc>
          <w:tcPr>
            <w:tcW w:w="2041" w:type="dxa"/>
            <w:vAlign w:val="center"/>
          </w:tcPr>
          <w:p>
            <w:pPr>
              <w:spacing w:before="40" w:after="40" w:line="259" w:lineRule="auto"/>
            </w:pPr>
            <w:r/>
            <w:r>
              <w:rPr>
                <w:rFonts w:ascii="Aptos" w:hAnsi="Aptos"/>
                <w:b w:val="0"/>
                <w:sz w:val="17"/>
              </w:rPr>
              <w:t>High</w:t>
            </w:r>
          </w:p>
        </w:tc>
        <w:tc>
          <w:tcPr>
            <w:tcW w:w="2680" w:type="dxa"/>
            <w:vAlign w:val="center"/>
          </w:tcPr>
          <w:p>
            <w:pPr>
              <w:spacing w:before="40" w:after="40" w:line="259" w:lineRule="auto"/>
            </w:pPr>
            <w:r/>
            <w:r>
              <w:rPr>
                <w:rFonts w:ascii="Aptos" w:hAnsi="Aptos"/>
                <w:b w:val="0"/>
                <w:sz w:val="17"/>
              </w:rP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pPr>
              <w:spacing w:before="40" w:after="40" w:line="259" w:lineRule="auto"/>
            </w:pPr>
            <w:r/>
            <w:r>
              <w:rPr>
                <w:rFonts w:ascii="Aptos" w:hAnsi="Aptos"/>
                <w:b w:val="0"/>
                <w:sz w:val="17"/>
              </w:rPr>
              <w:t>STD-004-CPP</w:t>
            </w:r>
          </w:p>
        </w:tc>
        <w:tc>
          <w:tcPr>
            <w:tcW w:w="1434" w:type="dxa"/>
            <w:vAlign w:val="center"/>
          </w:tcPr>
          <w:p>
            <w:pPr>
              <w:spacing w:before="40" w:after="40" w:line="259" w:lineRule="auto"/>
            </w:pPr>
            <w:r/>
            <w:r>
              <w:rPr>
                <w:rFonts w:ascii="Aptos" w:hAnsi="Aptos"/>
                <w:b w:val="0"/>
                <w:sz w:val="17"/>
              </w:rPr>
              <w:t>High</w:t>
            </w:r>
          </w:p>
        </w:tc>
        <w:tc>
          <w:tcPr>
            <w:tcW w:w="1349" w:type="dxa"/>
            <w:vAlign w:val="center"/>
          </w:tcPr>
          <w:p>
            <w:pPr>
              <w:spacing w:before="40" w:after="40" w:line="259" w:lineRule="auto"/>
            </w:pPr>
            <w:r/>
            <w:r>
              <w:rPr>
                <w:rFonts w:ascii="Aptos" w:hAnsi="Aptos"/>
                <w:b w:val="0"/>
                <w:sz w:val="17"/>
              </w:rPr>
              <w:t>Likely</w:t>
            </w:r>
          </w:p>
        </w:tc>
        <w:tc>
          <w:tcPr>
            <w:tcW w:w="1856" w:type="dxa"/>
            <w:vAlign w:val="center"/>
          </w:tcPr>
          <w:p>
            <w:pPr>
              <w:spacing w:before="40" w:after="40" w:line="259" w:lineRule="auto"/>
            </w:pPr>
            <w:r/>
            <w:r>
              <w:rPr>
                <w:rFonts w:ascii="Aptos" w:hAnsi="Aptos"/>
                <w:b w:val="0"/>
                <w:sz w:val="17"/>
              </w:rPr>
              <w:t>Medium</w:t>
            </w:r>
          </w:p>
        </w:tc>
        <w:tc>
          <w:tcPr>
            <w:tcW w:w="2041" w:type="dxa"/>
            <w:vAlign w:val="center"/>
          </w:tcPr>
          <w:p>
            <w:pPr>
              <w:spacing w:before="40" w:after="40" w:line="259" w:lineRule="auto"/>
            </w:pPr>
            <w:r/>
            <w:r>
              <w:rPr>
                <w:rFonts w:ascii="Aptos" w:hAnsi="Aptos"/>
                <w:b w:val="0"/>
                <w:sz w:val="17"/>
              </w:rPr>
              <w:t>High</w:t>
            </w:r>
          </w:p>
        </w:tc>
        <w:tc>
          <w:tcPr>
            <w:tcW w:w="2680" w:type="dxa"/>
            <w:vAlign w:val="center"/>
          </w:tcPr>
          <w:p>
            <w:pPr>
              <w:spacing w:before="40" w:after="40" w:line="259" w:lineRule="auto"/>
            </w:pPr>
            <w:r/>
            <w:r>
              <w:rPr>
                <w:rFonts w:ascii="Aptos" w:hAnsi="Aptos"/>
                <w:b w:val="0"/>
                <w:sz w:val="17"/>
              </w:rP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pPr>
              <w:spacing w:before="40" w:after="40" w:line="259" w:lineRule="auto"/>
            </w:pPr>
            <w:r/>
            <w:r>
              <w:rPr>
                <w:rFonts w:ascii="Aptos" w:hAnsi="Aptos"/>
                <w:b w:val="0"/>
                <w:sz w:val="17"/>
              </w:rPr>
              <w:t>STD-005-CPP</w:t>
            </w:r>
          </w:p>
        </w:tc>
        <w:tc>
          <w:tcPr>
            <w:tcW w:w="1434" w:type="dxa"/>
            <w:vAlign w:val="center"/>
          </w:tcPr>
          <w:p>
            <w:pPr>
              <w:spacing w:before="40" w:after="40" w:line="259" w:lineRule="auto"/>
            </w:pPr>
            <w:r/>
            <w:r>
              <w:rPr>
                <w:rFonts w:ascii="Aptos" w:hAnsi="Aptos"/>
                <w:b w:val="0"/>
                <w:sz w:val="17"/>
              </w:rPr>
              <w:t>High</w:t>
            </w:r>
          </w:p>
        </w:tc>
        <w:tc>
          <w:tcPr>
            <w:tcW w:w="1349" w:type="dxa"/>
            <w:vAlign w:val="center"/>
          </w:tcPr>
          <w:p>
            <w:pPr>
              <w:spacing w:before="40" w:after="40" w:line="259" w:lineRule="auto"/>
            </w:pPr>
            <w:r/>
            <w:r>
              <w:rPr>
                <w:rFonts w:ascii="Aptos" w:hAnsi="Aptos"/>
                <w:b w:val="0"/>
                <w:sz w:val="17"/>
              </w:rPr>
              <w:t>Possible</w:t>
            </w:r>
          </w:p>
        </w:tc>
        <w:tc>
          <w:tcPr>
            <w:tcW w:w="1856" w:type="dxa"/>
            <w:vAlign w:val="center"/>
          </w:tcPr>
          <w:p>
            <w:pPr>
              <w:spacing w:before="40" w:after="40" w:line="259" w:lineRule="auto"/>
            </w:pPr>
            <w:r/>
            <w:r>
              <w:rPr>
                <w:rFonts w:ascii="Aptos" w:hAnsi="Aptos"/>
                <w:b w:val="0"/>
                <w:sz w:val="17"/>
              </w:rPr>
              <w:t>Medium</w:t>
            </w:r>
          </w:p>
        </w:tc>
        <w:tc>
          <w:tcPr>
            <w:tcW w:w="2041" w:type="dxa"/>
            <w:vAlign w:val="center"/>
          </w:tcPr>
          <w:p>
            <w:pPr>
              <w:spacing w:before="40" w:after="40" w:line="259" w:lineRule="auto"/>
            </w:pPr>
            <w:r/>
            <w:r>
              <w:rPr>
                <w:rFonts w:ascii="Aptos" w:hAnsi="Aptos"/>
                <w:b w:val="0"/>
                <w:sz w:val="17"/>
              </w:rPr>
              <w:t>High</w:t>
            </w:r>
          </w:p>
        </w:tc>
        <w:tc>
          <w:tcPr>
            <w:tcW w:w="2680" w:type="dxa"/>
            <w:vAlign w:val="center"/>
          </w:tcPr>
          <w:p>
            <w:pPr>
              <w:spacing w:before="40" w:after="40" w:line="259" w:lineRule="auto"/>
            </w:pPr>
            <w:r/>
            <w:r>
              <w:rPr>
                <w:rFonts w:ascii="Aptos" w:hAnsi="Aptos"/>
                <w:b w:val="0"/>
                <w:sz w:val="17"/>
              </w:rP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pPr>
              <w:spacing w:before="40" w:after="40" w:line="259" w:lineRule="auto"/>
            </w:pPr>
            <w:r/>
            <w:r>
              <w:rPr>
                <w:rFonts w:ascii="Aptos" w:hAnsi="Aptos"/>
                <w:b w:val="0"/>
                <w:sz w:val="17"/>
              </w:rPr>
              <w:t>STD-006-CPP</w:t>
            </w:r>
          </w:p>
        </w:tc>
        <w:tc>
          <w:tcPr>
            <w:tcW w:w="1434" w:type="dxa"/>
            <w:vAlign w:val="center"/>
          </w:tcPr>
          <w:p>
            <w:pPr>
              <w:spacing w:before="40" w:after="40" w:line="259" w:lineRule="auto"/>
            </w:pPr>
            <w:r/>
            <w:r>
              <w:rPr>
                <w:rFonts w:ascii="Aptos" w:hAnsi="Aptos"/>
                <w:b w:val="0"/>
                <w:sz w:val="17"/>
              </w:rPr>
              <w:t>Medium</w:t>
            </w:r>
          </w:p>
        </w:tc>
        <w:tc>
          <w:tcPr>
            <w:tcW w:w="1349" w:type="dxa"/>
            <w:vAlign w:val="center"/>
          </w:tcPr>
          <w:p>
            <w:pPr>
              <w:spacing w:before="40" w:after="40" w:line="259" w:lineRule="auto"/>
            </w:pPr>
            <w:r/>
            <w:r>
              <w:rPr>
                <w:rFonts w:ascii="Aptos" w:hAnsi="Aptos"/>
                <w:b w:val="0"/>
                <w:sz w:val="17"/>
              </w:rPr>
              <w:t>Possible</w:t>
            </w:r>
          </w:p>
        </w:tc>
        <w:tc>
          <w:tcPr>
            <w:tcW w:w="1856" w:type="dxa"/>
            <w:vAlign w:val="center"/>
          </w:tcPr>
          <w:p>
            <w:pPr>
              <w:spacing w:before="40" w:after="40" w:line="259" w:lineRule="auto"/>
            </w:pPr>
            <w:r/>
            <w:r>
              <w:rPr>
                <w:rFonts w:ascii="Aptos" w:hAnsi="Aptos"/>
                <w:b w:val="0"/>
                <w:sz w:val="17"/>
              </w:rPr>
              <w:t>Low</w:t>
            </w:r>
          </w:p>
        </w:tc>
        <w:tc>
          <w:tcPr>
            <w:tcW w:w="2041" w:type="dxa"/>
            <w:vAlign w:val="center"/>
          </w:tcPr>
          <w:p>
            <w:pPr>
              <w:spacing w:before="40" w:after="40" w:line="259" w:lineRule="auto"/>
            </w:pPr>
            <w:r/>
            <w:r>
              <w:rPr>
                <w:rFonts w:ascii="Aptos" w:hAnsi="Aptos"/>
                <w:b w:val="0"/>
                <w:sz w:val="17"/>
              </w:rPr>
              <w:t>Medium</w:t>
            </w:r>
          </w:p>
        </w:tc>
        <w:tc>
          <w:tcPr>
            <w:tcW w:w="2680" w:type="dxa"/>
            <w:vAlign w:val="center"/>
          </w:tcPr>
          <w:p>
            <w:pPr>
              <w:spacing w:before="40" w:after="40" w:line="259" w:lineRule="auto"/>
            </w:pPr>
            <w:r/>
            <w:r>
              <w:rPr>
                <w:rFonts w:ascii="Aptos" w:hAnsi="Aptos"/>
                <w:b w:val="0"/>
                <w:sz w:val="17"/>
              </w:rP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pPr>
              <w:spacing w:before="40" w:after="40" w:line="259" w:lineRule="auto"/>
            </w:pPr>
            <w:r/>
            <w:r>
              <w:rPr>
                <w:rFonts w:ascii="Aptos" w:hAnsi="Aptos"/>
                <w:b w:val="0"/>
                <w:sz w:val="17"/>
              </w:rPr>
              <w:t>STD-007-CPP</w:t>
            </w:r>
          </w:p>
        </w:tc>
        <w:tc>
          <w:tcPr>
            <w:tcW w:w="1434" w:type="dxa"/>
            <w:vAlign w:val="center"/>
          </w:tcPr>
          <w:p>
            <w:pPr>
              <w:spacing w:before="40" w:after="40" w:line="259" w:lineRule="auto"/>
            </w:pPr>
            <w:r/>
            <w:r>
              <w:rPr>
                <w:rFonts w:ascii="Aptos" w:hAnsi="Aptos"/>
                <w:b w:val="0"/>
                <w:sz w:val="17"/>
              </w:rPr>
              <w:t>Medium</w:t>
            </w:r>
          </w:p>
        </w:tc>
        <w:tc>
          <w:tcPr>
            <w:tcW w:w="1349" w:type="dxa"/>
            <w:vAlign w:val="center"/>
          </w:tcPr>
          <w:p>
            <w:pPr>
              <w:spacing w:before="40" w:after="40" w:line="259" w:lineRule="auto"/>
            </w:pPr>
            <w:r/>
            <w:r>
              <w:rPr>
                <w:rFonts w:ascii="Aptos" w:hAnsi="Aptos"/>
                <w:b w:val="0"/>
                <w:sz w:val="17"/>
              </w:rPr>
              <w:t>Possible</w:t>
            </w:r>
          </w:p>
        </w:tc>
        <w:tc>
          <w:tcPr>
            <w:tcW w:w="1856" w:type="dxa"/>
            <w:vAlign w:val="center"/>
          </w:tcPr>
          <w:p>
            <w:pPr>
              <w:spacing w:before="40" w:after="40" w:line="259" w:lineRule="auto"/>
            </w:pPr>
            <w:r/>
            <w:r>
              <w:rPr>
                <w:rFonts w:ascii="Aptos" w:hAnsi="Aptos"/>
                <w:b w:val="0"/>
                <w:sz w:val="17"/>
              </w:rPr>
              <w:t>Medium</w:t>
            </w:r>
          </w:p>
        </w:tc>
        <w:tc>
          <w:tcPr>
            <w:tcW w:w="2041" w:type="dxa"/>
            <w:vAlign w:val="center"/>
          </w:tcPr>
          <w:p>
            <w:pPr>
              <w:spacing w:before="40" w:after="40" w:line="259" w:lineRule="auto"/>
            </w:pPr>
            <w:r/>
            <w:r>
              <w:rPr>
                <w:rFonts w:ascii="Aptos" w:hAnsi="Aptos"/>
                <w:b w:val="0"/>
                <w:sz w:val="17"/>
              </w:rPr>
              <w:t>Medium</w:t>
            </w:r>
          </w:p>
        </w:tc>
        <w:tc>
          <w:tcPr>
            <w:tcW w:w="2680" w:type="dxa"/>
            <w:vAlign w:val="center"/>
          </w:tcPr>
          <w:p>
            <w:pPr>
              <w:spacing w:before="40" w:after="40" w:line="259" w:lineRule="auto"/>
            </w:pPr>
            <w:r/>
            <w:r>
              <w:rPr>
                <w:rFonts w:ascii="Aptos" w:hAnsi="Aptos"/>
                <w:b w:val="0"/>
                <w:sz w:val="17"/>
              </w:rP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pPr>
              <w:spacing w:before="40" w:after="40" w:line="259" w:lineRule="auto"/>
            </w:pPr>
            <w:r/>
            <w:r>
              <w:rPr>
                <w:rFonts w:ascii="Aptos" w:hAnsi="Aptos"/>
                <w:b w:val="0"/>
                <w:sz w:val="17"/>
              </w:rPr>
              <w:t>STD-008-CPP</w:t>
            </w:r>
          </w:p>
        </w:tc>
        <w:tc>
          <w:tcPr>
            <w:tcW w:w="1434" w:type="dxa"/>
            <w:vAlign w:val="center"/>
          </w:tcPr>
          <w:p>
            <w:pPr>
              <w:spacing w:before="40" w:after="40" w:line="259" w:lineRule="auto"/>
            </w:pPr>
            <w:r/>
            <w:r>
              <w:rPr>
                <w:rFonts w:ascii="Aptos" w:hAnsi="Aptos"/>
                <w:b w:val="0"/>
                <w:sz w:val="17"/>
              </w:rPr>
              <w:t>High</w:t>
            </w:r>
          </w:p>
        </w:tc>
        <w:tc>
          <w:tcPr>
            <w:tcW w:w="1349" w:type="dxa"/>
            <w:vAlign w:val="center"/>
          </w:tcPr>
          <w:p>
            <w:pPr>
              <w:spacing w:before="40" w:after="40" w:line="259" w:lineRule="auto"/>
            </w:pPr>
            <w:r/>
            <w:r>
              <w:rPr>
                <w:rFonts w:ascii="Aptos" w:hAnsi="Aptos"/>
                <w:b w:val="0"/>
                <w:sz w:val="17"/>
              </w:rPr>
              <w:t>Possible</w:t>
            </w:r>
          </w:p>
        </w:tc>
        <w:tc>
          <w:tcPr>
            <w:tcW w:w="1856" w:type="dxa"/>
            <w:vAlign w:val="center"/>
          </w:tcPr>
          <w:p>
            <w:pPr>
              <w:spacing w:before="40" w:after="40" w:line="259" w:lineRule="auto"/>
            </w:pPr>
            <w:r/>
            <w:r>
              <w:rPr>
                <w:rFonts w:ascii="Aptos" w:hAnsi="Aptos"/>
                <w:b w:val="0"/>
                <w:sz w:val="17"/>
              </w:rPr>
              <w:t>Low</w:t>
            </w:r>
          </w:p>
        </w:tc>
        <w:tc>
          <w:tcPr>
            <w:tcW w:w="2041" w:type="dxa"/>
            <w:vAlign w:val="center"/>
          </w:tcPr>
          <w:p>
            <w:pPr>
              <w:spacing w:before="40" w:after="40" w:line="259" w:lineRule="auto"/>
            </w:pPr>
            <w:r/>
            <w:r>
              <w:rPr>
                <w:rFonts w:ascii="Aptos" w:hAnsi="Aptos"/>
                <w:b w:val="0"/>
                <w:sz w:val="17"/>
              </w:rPr>
              <w:t>High</w:t>
            </w:r>
          </w:p>
        </w:tc>
        <w:tc>
          <w:tcPr>
            <w:tcW w:w="2680" w:type="dxa"/>
            <w:vAlign w:val="center"/>
          </w:tcPr>
          <w:p>
            <w:pPr>
              <w:spacing w:before="40" w:after="40" w:line="259" w:lineRule="auto"/>
            </w:pPr>
            <w:r/>
            <w:r>
              <w:rPr>
                <w:rFonts w:ascii="Aptos" w:hAnsi="Aptos"/>
                <w:b w:val="0"/>
                <w:sz w:val="17"/>
              </w:rP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pPr>
              <w:spacing w:before="40" w:after="40" w:line="259" w:lineRule="auto"/>
            </w:pPr>
            <w:r/>
            <w:r>
              <w:rPr>
                <w:rFonts w:ascii="Aptos" w:hAnsi="Aptos"/>
                <w:b w:val="0"/>
                <w:sz w:val="17"/>
              </w:rPr>
              <w:t>STD-009-CPP</w:t>
            </w:r>
          </w:p>
        </w:tc>
        <w:tc>
          <w:tcPr>
            <w:tcW w:w="1434" w:type="dxa"/>
            <w:vAlign w:val="center"/>
          </w:tcPr>
          <w:p>
            <w:pPr>
              <w:spacing w:before="40" w:after="40" w:line="259" w:lineRule="auto"/>
            </w:pPr>
            <w:r/>
            <w:r>
              <w:rPr>
                <w:rFonts w:ascii="Aptos" w:hAnsi="Aptos"/>
                <w:b w:val="0"/>
                <w:sz w:val="17"/>
              </w:rPr>
              <w:t>Medium</w:t>
            </w:r>
          </w:p>
        </w:tc>
        <w:tc>
          <w:tcPr>
            <w:tcW w:w="1349" w:type="dxa"/>
            <w:vAlign w:val="center"/>
          </w:tcPr>
          <w:p>
            <w:pPr>
              <w:spacing w:before="40" w:after="40" w:line="259" w:lineRule="auto"/>
            </w:pPr>
            <w:r/>
            <w:r>
              <w:rPr>
                <w:rFonts w:ascii="Aptos" w:hAnsi="Aptos"/>
                <w:b w:val="0"/>
                <w:sz w:val="17"/>
              </w:rPr>
              <w:t>Possible</w:t>
            </w:r>
          </w:p>
        </w:tc>
        <w:tc>
          <w:tcPr>
            <w:tcW w:w="1856" w:type="dxa"/>
            <w:vAlign w:val="center"/>
          </w:tcPr>
          <w:p>
            <w:pPr>
              <w:spacing w:before="40" w:after="40" w:line="259" w:lineRule="auto"/>
            </w:pPr>
            <w:r/>
            <w:r>
              <w:rPr>
                <w:rFonts w:ascii="Aptos" w:hAnsi="Aptos"/>
                <w:b w:val="0"/>
                <w:sz w:val="17"/>
              </w:rPr>
              <w:t>Low</w:t>
            </w:r>
          </w:p>
        </w:tc>
        <w:tc>
          <w:tcPr>
            <w:tcW w:w="2041" w:type="dxa"/>
            <w:vAlign w:val="center"/>
          </w:tcPr>
          <w:p>
            <w:pPr>
              <w:spacing w:before="40" w:after="40" w:line="259" w:lineRule="auto"/>
            </w:pPr>
            <w:r/>
            <w:r>
              <w:rPr>
                <w:rFonts w:ascii="Aptos" w:hAnsi="Aptos"/>
                <w:b w:val="0"/>
                <w:sz w:val="17"/>
              </w:rPr>
              <w:t>Medium</w:t>
            </w:r>
          </w:p>
        </w:tc>
        <w:tc>
          <w:tcPr>
            <w:tcW w:w="2680" w:type="dxa"/>
            <w:vAlign w:val="center"/>
          </w:tcPr>
          <w:p>
            <w:pPr>
              <w:spacing w:before="40" w:after="40" w:line="259" w:lineRule="auto"/>
            </w:pPr>
            <w:r/>
            <w:r>
              <w:rPr>
                <w:rFonts w:ascii="Aptos" w:hAnsi="Aptos"/>
                <w:b w:val="0"/>
                <w:sz w:val="17"/>
              </w:rP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pPr>
              <w:spacing w:before="40" w:after="40" w:line="259" w:lineRule="auto"/>
            </w:pPr>
            <w:r/>
            <w:r>
              <w:rPr>
                <w:rFonts w:ascii="Aptos" w:hAnsi="Aptos"/>
                <w:b w:val="0"/>
                <w:sz w:val="17"/>
              </w:rPr>
              <w:t>STD-010-CPP</w:t>
            </w:r>
          </w:p>
        </w:tc>
        <w:tc>
          <w:tcPr>
            <w:tcW w:w="1434" w:type="dxa"/>
            <w:vAlign w:val="center"/>
          </w:tcPr>
          <w:p>
            <w:pPr>
              <w:spacing w:before="40" w:after="40" w:line="259" w:lineRule="auto"/>
            </w:pPr>
            <w:r/>
            <w:r>
              <w:rPr>
                <w:rFonts w:ascii="Aptos" w:hAnsi="Aptos"/>
                <w:b w:val="0"/>
                <w:sz w:val="17"/>
              </w:rPr>
              <w:t>High</w:t>
            </w:r>
          </w:p>
        </w:tc>
        <w:tc>
          <w:tcPr>
            <w:tcW w:w="1349" w:type="dxa"/>
            <w:vAlign w:val="center"/>
          </w:tcPr>
          <w:p>
            <w:pPr>
              <w:spacing w:before="40" w:after="40" w:line="259" w:lineRule="auto"/>
            </w:pPr>
            <w:r/>
            <w:r>
              <w:rPr>
                <w:rFonts w:ascii="Aptos" w:hAnsi="Aptos"/>
                <w:b w:val="0"/>
                <w:sz w:val="17"/>
              </w:rPr>
              <w:t>Possible</w:t>
            </w:r>
          </w:p>
        </w:tc>
        <w:tc>
          <w:tcPr>
            <w:tcW w:w="1856" w:type="dxa"/>
            <w:vAlign w:val="center"/>
          </w:tcPr>
          <w:p>
            <w:pPr>
              <w:spacing w:before="40" w:after="40" w:line="259" w:lineRule="auto"/>
            </w:pPr>
            <w:r/>
            <w:r>
              <w:rPr>
                <w:rFonts w:ascii="Aptos" w:hAnsi="Aptos"/>
                <w:b w:val="0"/>
                <w:sz w:val="17"/>
              </w:rPr>
              <w:t>Medium</w:t>
            </w:r>
          </w:p>
        </w:tc>
        <w:tc>
          <w:tcPr>
            <w:tcW w:w="2041" w:type="dxa"/>
            <w:vAlign w:val="center"/>
          </w:tcPr>
          <w:p>
            <w:pPr>
              <w:spacing w:before="40" w:after="40" w:line="259" w:lineRule="auto"/>
            </w:pPr>
            <w:r/>
            <w:r>
              <w:rPr>
                <w:rFonts w:ascii="Aptos" w:hAnsi="Aptos"/>
                <w:b w:val="0"/>
                <w:sz w:val="17"/>
              </w:rPr>
              <w:t>High</w:t>
            </w:r>
          </w:p>
        </w:tc>
        <w:tc>
          <w:tcPr>
            <w:tcW w:w="2680" w:type="dxa"/>
            <w:vAlign w:val="center"/>
          </w:tcPr>
          <w:p>
            <w:pPr>
              <w:spacing w:before="40" w:after="40" w:line="259" w:lineRule="auto"/>
            </w:pPr>
            <w:r/>
            <w:r>
              <w:rPr>
                <w:rFonts w:ascii="Aptos" w:hAnsi="Aptos"/>
                <w:b w:val="0"/>
                <w:sz w:val="17"/>
              </w:rPr>
              <w:t>4</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spacing w:after="120"/>
        <w:ind w:left="720"/>
        <w:rPr>
          <w:b/>
          <w:i/>
        </w:rPr>
      </w:pPr>
      <w:r>
        <w:rPr>
          <w:sz w:val="20"/>
        </w:rPr>
        <w:t>The following are mandatory control expectations for sensitive data and identity events, with technical implementation selected according to data classification and platform support.</w:t>
      </w:r>
    </w:p>
    <w:p w14:paraId="354139B7" w14:textId="77777777" w:rsidR="00381847" w:rsidRDefault="00E769D9" w:rsidP="008D5A8D">
      <w:pPr>
        <w:pStyle w:val="List"/>
        <w:spacing w:after="120"/>
      </w:pPr>
      <w:r>
        <w:rPr>
          <w:sz w:val="20"/>
        </w:rPr>
        <w:t>Data may be exposed while stored, transmitted, or actively processed. Each state requires appropriate protection, key management, and access restrictions; encryption does not replace authorization.</w:t>
      </w:r>
    </w:p>
    <w:p w14:paraId="224FF374" w14:textId="5612E759" w:rsidR="00381847" w:rsidRDefault="00E769D9" w:rsidP="008D5A8D">
      <w:pPr>
        <w:pStyle w:val="List"/>
        <w:spacing w:after="120"/>
      </w:pPr>
      <w:r>
        <w:rPr>
          <w:sz w:val="20"/>
        </w:rPr>
        <w:t>Authentication verifies identity, authorization grants only approved actions, and accounting/auditing establishes a traceable record of security-relevant activity.</w:t>
      </w:r>
    </w:p>
    <w:p w14:paraId="2E421E78" w14:textId="77777777" w:rsidR="008C3FC6" w:rsidRDefault="008C3FC6" w:rsidP="008C3FC6">
      <w:pPr>
        <w:ind w:left="1440"/>
      </w:pPr>
    </w:p>
    <w:p w14:paraId="3478FBBD" w14:textId="77777777" w:rsidR="00381847" w:rsidRDefault="00E769D9">
      <w:pPr>
        <w:spacing w:after="120"/>
      </w:pPr>
      <w:r>
        <w:rPr>
          <w:sz w:val="20"/>
        </w:rPr>
        <w:t>Policy owners must document how these safeguards are configured, tested, monitored, and reviewed, including ownership of identities, cryptographic keys, and audit evidence.</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621"/>
        <w:gridCol w:w="7891"/>
      </w:tblGrid>
      <w:tr w:rsidR="00381847" w14:paraId="6FEC6308" w14:textId="77777777" w:rsidTr="00001F14">
        <w:trPr>
          <w:trHeight w:val="420"/>
          <w:tblHeader/>
          <w:tblHeader w:val="true"/>
        </w:trPr>
        <w:tc>
          <w:tcPr>
            <w:tcW w:w="2621"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7891"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2621"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7891" w:type="dxa"/>
            <w:tcMar>
              <w:top w:w="100" w:type="dxa"/>
              <w:left w:w="100" w:type="dxa"/>
              <w:bottom w:w="100" w:type="dxa"/>
              <w:right w:w="100" w:type="dxa"/>
            </w:tcMar>
            <w:vAlign w:val="center"/>
          </w:tcPr>
          <w:p>
            <w:pPr>
              <w:spacing w:before="40" w:after="40" w:line="259" w:lineRule="auto"/>
            </w:pPr>
            <w:r/>
            <w:r>
              <w:rPr>
                <w:rFonts w:ascii="Aptos" w:hAnsi="Aptos"/>
                <w:b w:val="0"/>
                <w:sz w:val="18"/>
              </w:rPr>
              <w:t>Encryption at rest protects stored information such as files, backups, databases, and device volumes. Green Pace shall encrypt sensitive stored data using approved, maintained cryptography (for example, AES-256 where appropriate), central key management, separate key access from data access, and rotate/revoke keys under an approved schedule. Apply this control to production records, developer datasets containing sensitive data, backups, and lost-device exposure; test restoration and access controls.</w:t>
            </w:r>
          </w:p>
        </w:tc>
      </w:tr>
      <w:tr w:rsidR="00381847" w14:paraId="0F67A9AE" w14:textId="77777777" w:rsidTr="00001F14">
        <w:trPr>
          <w:trHeight w:val="420"/>
        </w:trPr>
        <w:tc>
          <w:tcPr>
            <w:tcW w:w="2621"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7891" w:type="dxa"/>
            <w:tcMar>
              <w:top w:w="100" w:type="dxa"/>
              <w:left w:w="100" w:type="dxa"/>
              <w:bottom w:w="100" w:type="dxa"/>
              <w:right w:w="100" w:type="dxa"/>
            </w:tcMar>
            <w:vAlign w:val="center"/>
          </w:tcPr>
          <w:p>
            <w:pPr>
              <w:spacing w:before="40" w:after="40" w:line="259" w:lineRule="auto"/>
            </w:pPr>
            <w:r/>
            <w:r>
              <w:rPr>
                <w:rFonts w:ascii="Aptos" w:hAnsi="Aptos"/>
                <w:b w:val="0"/>
                <w:sz w:val="18"/>
              </w:rPr>
              <w:t>Encryption in flight protects information moving between browsers, APIs, services, cloud endpoints, and administrators. Green Pace shall use modern authenticated transport security such as TLS 1.2/1.3 with strong cipher suites and valid certificate checks, preferring TLS 1.3 where supported. Do not disable certificate validation or transmit credentials over cleartext links. Apply to all sensitive interservice and external connections and monitor certificate expiration.</w:t>
            </w:r>
          </w:p>
        </w:tc>
      </w:tr>
      <w:tr w:rsidR="00381847" w14:paraId="0D41AF4D" w14:textId="77777777" w:rsidTr="00001F14">
        <w:trPr>
          <w:trHeight w:val="420"/>
        </w:trPr>
        <w:tc>
          <w:tcPr>
            <w:tcW w:w="2621" w:type="dxa"/>
            <w:tcMar>
              <w:top w:w="100" w:type="dxa"/>
              <w:left w:w="100" w:type="dxa"/>
              <w:bottom w:w="100" w:type="dxa"/>
              <w:right w:w="100" w:type="dxa"/>
            </w:tcMar>
          </w:tcPr>
          <w:p w14:paraId="16E52C37" w14:textId="77777777" w:rsidR="00381847" w:rsidRDefault="00E769D9">
            <w:r>
              <w:t>Encryption in use</w:t>
            </w:r>
          </w:p>
        </w:tc>
        <w:tc>
          <w:tcPr>
            <w:tcW w:w="7891" w:type="dxa"/>
            <w:tcMar>
              <w:top w:w="100" w:type="dxa"/>
              <w:left w:w="100" w:type="dxa"/>
              <w:bottom w:w="100" w:type="dxa"/>
              <w:right w:w="100" w:type="dxa"/>
            </w:tcMar>
            <w:vAlign w:val="center"/>
          </w:tcPr>
          <w:p>
            <w:pPr>
              <w:spacing w:before="40" w:after="40" w:line="259" w:lineRule="auto"/>
            </w:pPr>
            <w:r/>
            <w:r>
              <w:rPr>
                <w:rFonts w:ascii="Aptos" w:hAnsi="Aptos"/>
                <w:b w:val="0"/>
                <w:sz w:val="18"/>
              </w:rPr>
              <w:t>Encryption in use addresses sensitive information while applications actively process it. For high-risk workloads, Green Pace should evaluate trusted execution environments/confidential-computing protections where the platform supports them; ordinary RAM processing is not automatically encrypted end to end. In every environment, limit process permissions, minimize plaintext lifetime, avoid placing secrets in logs or crash dumps, and clear sensitive buffers when appropriate. Apply during identity, financial, and sensitive-data processing.</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621"/>
        <w:gridCol w:w="7891"/>
      </w:tblGrid>
      <w:tr w:rsidR="00381847" w14:paraId="6BB48D84" w14:textId="77777777" w:rsidTr="00001F14">
        <w:trPr>
          <w:trHeight w:val="420"/>
          <w:tblHeader/>
          <w:tblHeader w:val="true"/>
        </w:trPr>
        <w:tc>
          <w:tcPr>
            <w:tcW w:w="2621"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7891"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621" w:type="dxa"/>
            <w:tcMar>
              <w:top w:w="100" w:type="dxa"/>
              <w:left w:w="100" w:type="dxa"/>
              <w:bottom w:w="100" w:type="dxa"/>
              <w:right w:w="100" w:type="dxa"/>
            </w:tcMar>
          </w:tcPr>
          <w:p w14:paraId="08A5E450" w14:textId="77777777" w:rsidR="00381847" w:rsidRDefault="00E769D9">
            <w:r>
              <w:t>Authentication</w:t>
            </w:r>
          </w:p>
        </w:tc>
        <w:tc>
          <w:tcPr>
            <w:tcW w:w="7891" w:type="dxa"/>
            <w:tcMar>
              <w:top w:w="100" w:type="dxa"/>
              <w:left w:w="100" w:type="dxa"/>
              <w:bottom w:w="100" w:type="dxa"/>
              <w:right w:w="100" w:type="dxa"/>
            </w:tcMar>
            <w:vAlign w:val="center"/>
          </w:tcPr>
          <w:p>
            <w:pPr>
              <w:spacing w:before="40" w:after="40" w:line="259" w:lineRule="auto"/>
            </w:pPr>
            <w:r/>
            <w:r>
              <w:rPr>
                <w:rFonts w:ascii="Aptos" w:hAnsi="Aptos"/>
                <w:b w:val="0"/>
                <w:sz w:val="18"/>
              </w:rPr>
              <w:t>Authentication confirms that a user, administrator, or service is who it claims to be. Green Pace shall use individual identities, managed service accounts, strong password handling with salted adaptive hashes, and multi-factor authentication for privileged or remote access. Log successful and failed logins without recording passwords or tokens. Review new-account enrollment and revoke access promptly at separation.</w:t>
            </w:r>
          </w:p>
        </w:tc>
      </w:tr>
      <w:tr w:rsidR="00381847" w14:paraId="648E56BD" w14:textId="77777777" w:rsidTr="00001F14">
        <w:trPr>
          <w:trHeight w:val="420"/>
        </w:trPr>
        <w:tc>
          <w:tcPr>
            <w:tcW w:w="2621" w:type="dxa"/>
            <w:tcMar>
              <w:top w:w="100" w:type="dxa"/>
              <w:left w:w="100" w:type="dxa"/>
              <w:bottom w:w="100" w:type="dxa"/>
              <w:right w:w="100" w:type="dxa"/>
            </w:tcMar>
          </w:tcPr>
          <w:p w14:paraId="6D12B718" w14:textId="77777777" w:rsidR="00381847" w:rsidRDefault="00E769D9">
            <w:r>
              <w:t>Authorization</w:t>
            </w:r>
          </w:p>
        </w:tc>
        <w:tc>
          <w:tcPr>
            <w:tcW w:w="7891" w:type="dxa"/>
            <w:tcMar>
              <w:top w:w="100" w:type="dxa"/>
              <w:left w:w="100" w:type="dxa"/>
              <w:bottom w:w="100" w:type="dxa"/>
              <w:right w:w="100" w:type="dxa"/>
            </w:tcMar>
            <w:vAlign w:val="center"/>
          </w:tcPr>
          <w:p>
            <w:pPr>
              <w:spacing w:before="40" w:after="40" w:line="259" w:lineRule="auto"/>
            </w:pPr>
            <w:r/>
            <w:r>
              <w:rPr>
                <w:rFonts w:ascii="Aptos" w:hAnsi="Aptos"/>
                <w:b w:val="0"/>
                <w:sz w:val="18"/>
              </w:rPr>
              <w:t>Authorization decides what an authenticated identity is permitted to do. Use role-based or attribute-based access controls, default deny, and the least privilege required for a job. Apply checks on each sensitive API endpoint, database operation, and file request—not just in a user interface. Review user access levels, approvals for adding users, database-change privileges, and permission changes on a regular schedule.</w:t>
            </w:r>
          </w:p>
        </w:tc>
      </w:tr>
      <w:tr w:rsidR="00381847" w14:paraId="2E1CA022" w14:textId="77777777" w:rsidTr="00001F14">
        <w:trPr>
          <w:trHeight w:val="420"/>
        </w:trPr>
        <w:tc>
          <w:tcPr>
            <w:tcW w:w="2621" w:type="dxa"/>
            <w:tcMar>
              <w:top w:w="100" w:type="dxa"/>
              <w:left w:w="100" w:type="dxa"/>
              <w:bottom w:w="100" w:type="dxa"/>
              <w:right w:w="100" w:type="dxa"/>
            </w:tcMar>
          </w:tcPr>
          <w:p w14:paraId="43A27943" w14:textId="77777777" w:rsidR="00381847" w:rsidRDefault="00E769D9">
            <w:r>
              <w:t>Accounting</w:t>
            </w:r>
          </w:p>
        </w:tc>
        <w:tc>
          <w:tcPr>
            <w:tcW w:w="7891" w:type="dxa"/>
            <w:tcMar>
              <w:top w:w="100" w:type="dxa"/>
              <w:left w:w="100" w:type="dxa"/>
              <w:bottom w:w="100" w:type="dxa"/>
              <w:right w:w="100" w:type="dxa"/>
            </w:tcMar>
            <w:vAlign w:val="center"/>
          </w:tcPr>
          <w:p>
            <w:pPr>
              <w:spacing w:before="40" w:after="40" w:line="259" w:lineRule="auto"/>
            </w:pPr>
            <w:r/>
            <w:r>
              <w:rPr>
                <w:rFonts w:ascii="Aptos" w:hAnsi="Aptos"/>
                <w:b w:val="0"/>
                <w:sz w:val="18"/>
              </w:rPr>
              <w:t>Accounting (auditing) records security-relevant actions so teams can investigate mistakes and attacks. Capture timestamp, actor/service identity, action, target, outcome, and correlation ID for logins, creation or removal of users, access-level changes, sensitive file access, and database modifications. Avoid recording secrets or excessive personal data; protect logs against tampering, control who may read them, define retention, and alert on suspicious activity. Integrate application logs with Green Pace's existing OS, firewall, and anti-malware logging.</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spacing w:after="120"/>
        <w:ind w:left="720"/>
        <w:rPr>
          <w:b/>
        </w:rPr>
      </w:pPr>
      <w:r>
        <w:rPr>
          <w:sz w:val="20"/>
        </w:rPr>
        <w:t>Principle-to-standard links, using the original 1–10 principle numbering, are included in the Principles(s) row beneath each coding example. These links show why the mandatory behavior supports Green Pace's secure design, quality assurance, and defense-in-depth goals. More than one principle applies when a control uses several independent safeguards.</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autofit"/>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blHeader w:val="true"/>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vAlign w:val="center"/>
          </w:tcPr>
          <w:p>
            <w:pPr>
              <w:spacing w:before="40" w:after="40" w:line="259" w:lineRule="auto"/>
            </w:pPr>
            <w:r/>
            <w:r>
              <w:rPr>
                <w:rFonts w:ascii="Aptos" w:hAnsi="Aptos"/>
                <w:b w:val="0"/>
                <w:sz w:val="17"/>
              </w:rPr>
              <w:t>1.1</w:t>
            </w:r>
          </w:p>
        </w:tc>
        <w:tc>
          <w:tcPr>
            <w:tcW w:w="1530" w:type="dxa"/>
            <w:vAlign w:val="center"/>
          </w:tcPr>
          <w:p>
            <w:pPr>
              <w:spacing w:before="40" w:after="40" w:line="259" w:lineRule="auto"/>
            </w:pPr>
            <w:r/>
            <w:r>
              <w:rPr>
                <w:rFonts w:ascii="Aptos" w:hAnsi="Aptos"/>
                <w:b w:val="0"/>
                <w:sz w:val="17"/>
              </w:rPr>
              <w:t>10/11/2026</w:t>
            </w:r>
          </w:p>
        </w:tc>
        <w:tc>
          <w:tcPr>
            <w:tcW w:w="3510" w:type="dxa"/>
            <w:vAlign w:val="center"/>
          </w:tcPr>
          <w:p>
            <w:pPr>
              <w:spacing w:before="40" w:after="40" w:line="259" w:lineRule="auto"/>
            </w:pPr>
            <w:r/>
            <w:r>
              <w:rPr>
                <w:rFonts w:ascii="Aptos" w:hAnsi="Aptos"/>
                <w:b w:val="0"/>
                <w:sz w:val="17"/>
              </w:rPr>
              <w:t>Project One completion: 10 risk reviews, tools, DevSecOps, encryption and AAA policies</w:t>
            </w:r>
          </w:p>
        </w:tc>
        <w:tc>
          <w:tcPr>
            <w:tcW w:w="1923" w:type="dxa"/>
            <w:vAlign w:val="center"/>
          </w:tcPr>
          <w:p>
            <w:pPr>
              <w:spacing w:before="40" w:after="40" w:line="259" w:lineRule="auto"/>
            </w:pPr>
            <w:r/>
            <w:r>
              <w:rPr>
                <w:rFonts w:ascii="Aptos" w:hAnsi="Aptos"/>
                <w:b w:val="0"/>
                <w:sz w:val="17"/>
              </w:rPr>
              <w:t>Gurman Dhot</w:t>
            </w:r>
          </w:p>
        </w:tc>
        <w:tc>
          <w:tcPr>
            <w:tcW w:w="2077" w:type="dxa"/>
            <w:vAlign w:val="center"/>
          </w:tcPr>
          <w:p>
            <w:pPr>
              <w:spacing w:before="40" w:after="40" w:line="259" w:lineRule="auto"/>
            </w:pPr>
            <w:r/>
            <w:r>
              <w:rPr>
                <w:rFonts w:ascii="Aptos" w:hAnsi="Aptos"/>
                <w:b w:val="0"/>
                <w:sz w:val="17"/>
              </w:rPr>
              <w:t>Pending OCISO review</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autofit"/>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blHeader w:val="true"/>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p>
      <w:pPr>
        <w:pStyle w:val="Heading1"/>
      </w:pPr>
      <w:r>
        <w:t>Source and Checker Reference Notes</w:t>
      </w:r>
    </w:p>
    <w:p>
      <w:pPr>
        <w:spacing w:after="60"/>
      </w:pPr>
      <w:r>
        <w:rPr>
          <w:b/>
          <w:sz w:val="18"/>
        </w:rPr>
        <w:t xml:space="preserve">SEI CERT C++ secure coding rules: </w:t>
      </w:r>
      <w:r>
        <w:rPr>
          <w:sz w:val="16"/>
        </w:rPr>
        <w:t>https://cmu-sei.github.io/secure-coding-standards/sei-cert-cpp-coding-standard/rules/</w:t>
      </w:r>
    </w:p>
    <w:p>
      <w:pPr>
        <w:spacing w:after="60"/>
      </w:pPr>
      <w:r>
        <w:rPr>
          <w:b/>
          <w:sz w:val="18"/>
        </w:rPr>
        <w:t xml:space="preserve">SEI CERT integer-conversion rule INT31-C: </w:t>
      </w:r>
      <w:r>
        <w:rPr>
          <w:sz w:val="16"/>
        </w:rPr>
        <w:t>https://cmu-sei.github.io/secure-coding-standards/sei-cert-c-coding-standard/rules/integers-int/int31-c/</w:t>
      </w:r>
    </w:p>
    <w:p>
      <w:pPr>
        <w:spacing w:after="60"/>
      </w:pPr>
      <w:r>
        <w:rPr>
          <w:b/>
          <w:sz w:val="18"/>
        </w:rPr>
        <w:t xml:space="preserve">SEI CERT string bounds rule STR53-CPP: </w:t>
      </w:r>
      <w:r>
        <w:rPr>
          <w:sz w:val="16"/>
        </w:rPr>
        <w:t>https://cmu-sei.github.io/secure-coding-standards/sei-cert-cpp-coding-standard/rules/characters-and-strings-str/str53-cpp/</w:t>
      </w:r>
    </w:p>
    <w:p>
      <w:pPr>
        <w:spacing w:after="60"/>
      </w:pPr>
      <w:r>
        <w:rPr>
          <w:b/>
          <w:sz w:val="18"/>
        </w:rPr>
        <w:t xml:space="preserve">clang-tidy checks and options: </w:t>
      </w:r>
      <w:r>
        <w:rPr>
          <w:sz w:val="16"/>
        </w:rPr>
        <w:t>https://clang.llvm.org/extra/clang-tidy/checks/list.html</w:t>
      </w:r>
    </w:p>
    <w:p>
      <w:pPr>
        <w:spacing w:after="60"/>
      </w:pPr>
      <w:r>
        <w:rPr>
          <w:b/>
          <w:sz w:val="18"/>
        </w:rPr>
        <w:t xml:space="preserve">clang-tidy narrowing-conversion checker: </w:t>
      </w:r>
      <w:r>
        <w:rPr>
          <w:sz w:val="16"/>
        </w:rPr>
        <w:t>https://clang.llvm.org/extra/clang-tidy/checks/bugprone/narrowing-conversions.html</w:t>
      </w:r>
    </w:p>
    <w:p>
      <w:pPr>
        <w:spacing w:after="60"/>
      </w:pPr>
      <w:r>
        <w:rPr>
          <w:b/>
          <w:sz w:val="18"/>
        </w:rPr>
        <w:t xml:space="preserve">clang-tidy assert-side-effect checker: </w:t>
      </w:r>
      <w:r>
        <w:rPr>
          <w:sz w:val="16"/>
        </w:rPr>
        <w:t>https://clang.llvm.org/extra/clang-tidy/checks/bugprone/assert-side-effect.html</w:t>
      </w:r>
    </w:p>
    <w:p>
      <w:pPr>
        <w:spacing w:after="60"/>
      </w:pPr>
      <w:r>
        <w:rPr>
          <w:b/>
          <w:sz w:val="18"/>
        </w:rPr>
        <w:t xml:space="preserve">clang-tidy exception-escape checker: </w:t>
      </w:r>
      <w:r>
        <w:rPr>
          <w:sz w:val="16"/>
        </w:rPr>
        <w:t>https://clang.llvm.org/extra/clang-tidy/checks/bugprone/exception-escape.html</w:t>
      </w:r>
    </w:p>
    <w:p>
      <w:pPr>
        <w:spacing w:after="60"/>
      </w:pPr>
      <w:r>
        <w:rPr>
          <w:b/>
          <w:sz w:val="18"/>
        </w:rPr>
        <w:t xml:space="preserve">Cppcheck checker/source index: </w:t>
      </w:r>
      <w:r>
        <w:rPr>
          <w:sz w:val="16"/>
        </w:rPr>
        <w:t>https://github.com/danmar/cppcheck</w:t>
      </w:r>
    </w:p>
    <w:p>
      <w:pPr>
        <w:spacing w:after="60"/>
      </w:pPr>
      <w:r>
        <w:rPr>
          <w:b/>
          <w:sz w:val="18"/>
        </w:rPr>
        <w:t xml:space="preserve">CodeQL C++ SQL injection query cpp/sql-injection: </w:t>
      </w:r>
      <w:r>
        <w:rPr>
          <w:sz w:val="16"/>
        </w:rPr>
        <w:t>https://codeql.github.com/codeql-query-help/cpp/cpp-sql-injection/</w:t>
      </w:r>
    </w:p>
    <w:p>
      <w:pPr>
        <w:spacing w:after="60"/>
      </w:pPr>
      <w:r>
        <w:rPr>
          <w:b/>
          <w:sz w:val="18"/>
        </w:rPr>
        <w:t xml:space="preserve">Clang ThreadSanitizer: </w:t>
      </w:r>
      <w:r>
        <w:rPr>
          <w:sz w:val="16"/>
        </w:rPr>
        <w:t>https://clang.llvm.org/docs/ThreadSanitizer.html</w:t>
      </w:r>
    </w:p>
    <w:p>
      <w:pPr>
        <w:spacing w:after="60"/>
      </w:pPr>
      <w:r>
        <w:rPr>
          <w:b/>
          <w:sz w:val="18"/>
        </w:rPr>
        <w:t xml:space="preserve">SonarSource rules catalog, course snapshot: </w:t>
      </w:r>
      <w:r>
        <w:rPr>
          <w:sz w:val="16"/>
        </w:rPr>
        <w:t>https://web.archive.org/web/20260101192845/https://rules.sonarsource.com/</w:t>
      </w:r>
    </w:p>
    <w:p>
      <w:pPr/>
      <w:r>
        <w:t>Audit note: The listed tool versions are proposed reproducible baselines, not a claim that Green Pace installed or executed them. Automated detection is partial; final adoption requires validating tool availability, configuring the named checks, and retaining actual CI findings and approval records.</w:t>
      </w:r>
    </w:p>
    <w:sectPr w:rsidR="00381847">
      <w:headerReference w:type="default" r:id="rId15"/>
      <w:footerReference w:type="default" r:id="rId16"/>
      <w:pgSz w:w="12240" w:h="15840"/>
      <w:pgMar w:top="720" w:right="720" w:bottom="720" w:left="720" w:header="605" w:footer="57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FC0B4" w14:textId="77777777" w:rsidR="006F7CCE" w:rsidRDefault="006F7CCE">
      <w:r>
        <w:separator/>
      </w:r>
    </w:p>
  </w:endnote>
  <w:endnote w:type="continuationSeparator" w:id="0">
    <w:p w14:paraId="1F721155" w14:textId="77777777" w:rsidR="006F7CCE" w:rsidRDefault="006F7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2E12C" w14:textId="77777777" w:rsidR="006F7CCE" w:rsidRDefault="006F7CCE">
      <w:r>
        <w:separator/>
      </w:r>
    </w:p>
  </w:footnote>
  <w:footnote w:type="continuationSeparator" w:id="0">
    <w:p w14:paraId="05902442" w14:textId="77777777" w:rsidR="006F7CCE" w:rsidRDefault="006F7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updateFields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C3348"/>
    <w:rsid w:val="001646BD"/>
    <w:rsid w:val="00171556"/>
    <w:rsid w:val="00192176"/>
    <w:rsid w:val="001D4766"/>
    <w:rsid w:val="002474B4"/>
    <w:rsid w:val="002B23D7"/>
    <w:rsid w:val="00332392"/>
    <w:rsid w:val="00381847"/>
    <w:rsid w:val="003B0A5C"/>
    <w:rsid w:val="003C2366"/>
    <w:rsid w:val="003D6F4A"/>
    <w:rsid w:val="004E12CE"/>
    <w:rsid w:val="0059536C"/>
    <w:rsid w:val="005A3503"/>
    <w:rsid w:val="005B7417"/>
    <w:rsid w:val="005C0C1A"/>
    <w:rsid w:val="006D38A7"/>
    <w:rsid w:val="006F7CCE"/>
    <w:rsid w:val="008673EA"/>
    <w:rsid w:val="00895AA1"/>
    <w:rsid w:val="008C3FC6"/>
    <w:rsid w:val="008D5A8D"/>
    <w:rsid w:val="00973B67"/>
    <w:rsid w:val="009B710E"/>
    <w:rsid w:val="009F1B64"/>
    <w:rsid w:val="009F7011"/>
    <w:rsid w:val="00A04F5E"/>
    <w:rsid w:val="00A64600"/>
    <w:rsid w:val="00B21AEC"/>
    <w:rsid w:val="00B475A1"/>
    <w:rsid w:val="00B83D35"/>
    <w:rsid w:val="00B92A44"/>
    <w:rsid w:val="00BC2B54"/>
    <w:rsid w:val="00C73007"/>
    <w:rsid w:val="00CB2327"/>
    <w:rsid w:val="00CE3A73"/>
    <w:rsid w:val="00D211BA"/>
    <w:rsid w:val="00D30268"/>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19</Pages>
  <Words>3386</Words>
  <Characters>19304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 — CS 405 Project One</dc:title>
  <dc:creator>Gurman Dhot</dc:creator>
  <cp:lastModifiedBy>Laurel, Brooke</cp:lastModifiedBy>
  <cp:revision>24</cp:revision>
  <dcterms:created xsi:type="dcterms:W3CDTF">2020-11-20T18:42:00Z</dcterms:created>
  <dcterms:modified xsi:type="dcterms:W3CDTF">2024-01-19T19:40:00Z</dcterms:modified>
  <dc:subject>Security Policy for Green Pace | Module Six Project One</dc:subject>
  <cp:keywords>CS405, DevSecOps, security policy, CERT C++</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