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МИНИСТЕРСТВО НАУКИ И ВЫСШЕГО ОБРАЗОВАНИЯ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РОССИЙСКОЙ ФЕДЕРАЦИИ</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Федеральное государственное бюджетное образовательное учреждение</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высшего образования</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«Московский государственный технический университет имени Н.Э. Баумана</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(национальный исследовательский университет)»</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ВЫПУСКНАЯ КВАЛИФИКАЦИОННАЯ РАБОТА </w:t>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по курсу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«Data Science»</w:t>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bookmarkStart w:id="0" w:name="_heading=h.3rdcrjn"/>
      <w:bookmarkStart w:id="1" w:name="_heading=h.3rdcrjn"/>
      <w:bookmarkEnd w:id="1"/>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pPr>
      <w:r>
        <w:rPr>
          <w:rFonts w:eastAsia="Times New Roman" w:cs="Times New Roman" w:ascii="Times New Roman" w:hAnsi="Times New Roman"/>
          <w:sz w:val="28"/>
          <w:szCs w:val="28"/>
        </w:rPr>
        <w:t>Слушатель</w:t>
        <w:tab/>
        <w:tab/>
        <w:tab/>
        <w:t xml:space="preserve">                                    </w:t>
      </w:r>
      <w:r>
        <w:rPr>
          <w:rFonts w:eastAsia="Times New Roman" w:cs="Times New Roman" w:ascii="Times New Roman" w:hAnsi="Times New Roman"/>
          <w:sz w:val="28"/>
          <w:szCs w:val="28"/>
          <w:lang w:val="en-US"/>
        </w:rPr>
        <w:t xml:space="preserve">Четвериков </w:t>
      </w:r>
      <w:r>
        <w:rPr>
          <w:rFonts w:eastAsia="Times New Roman" w:cs="Times New Roman" w:ascii="Times New Roman" w:hAnsi="Times New Roman"/>
          <w:sz w:val="28"/>
          <w:szCs w:val="28"/>
          <w:lang w:val="ru-RU"/>
        </w:rPr>
        <w:t>Артем Васильевич</w:t>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uppressAutoHyphens w:val="false"/>
        <w:bidi w:val="0"/>
        <w:spacing w:lineRule="auto" w:line="240"/>
        <w:ind w:left="0" w:right="0" w:firstLine="709"/>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Москва, 2022</w:t>
      </w:r>
    </w:p>
    <w:p>
      <w:pPr>
        <w:sectPr>
          <w:type w:val="nextPage"/>
          <w:pgSz w:w="11906" w:h="16838"/>
          <w:pgMar w:left="1134" w:right="1134" w:gutter="0" w:header="0" w:top="1134" w:footer="0" w:bottom="1134"/>
          <w:pgNumType w:fmt="decimal"/>
          <w:formProt w:val="false"/>
          <w:textDirection w:val="lrTb"/>
          <w:docGrid w:type="default" w:linePitch="100" w:charSpace="0"/>
        </w:sectPr>
      </w:pPr>
    </w:p>
    <w:sdt>
      <w:sdtPr>
        <w:docPartObj>
          <w:docPartGallery w:val="Table of Contents"/>
          <w:docPartUnique w:val="true"/>
        </w:docPartObj>
      </w:sdtPr>
      <w:sdtContent>
        <w:p>
          <w:pPr>
            <w:pStyle w:val="Style24"/>
            <w:rPr/>
          </w:pPr>
          <w:r>
            <w:rPr/>
            <w:t>Содержание</w:t>
          </w:r>
        </w:p>
        <w:p>
          <w:pPr>
            <w:pStyle w:val="11"/>
            <w:rPr/>
          </w:pPr>
          <w:r>
            <w:fldChar w:fldCharType="begin"/>
          </w:r>
          <w:r>
            <w:rPr/>
            <w:instrText> TOC \f \o "1-9" \h</w:instrText>
          </w:r>
          <w:r>
            <w:rPr/>
            <w:fldChar w:fldCharType="separate"/>
          </w:r>
          <w:hyperlink w:anchor="__RefHeading___Toc6566_1566460903">
            <w:r>
              <w:rPr/>
              <w:t>Введение</w:t>
              <w:tab/>
              <w:t>3</w:t>
            </w:r>
          </w:hyperlink>
        </w:p>
        <w:p>
          <w:pPr>
            <w:pStyle w:val="11"/>
            <w:rPr/>
          </w:pPr>
          <w:hyperlink w:anchor="__RefHeading___Toc6568_1566460903">
            <w:r>
              <w:rPr/>
              <w:t>1 Аналитическая часть</w:t>
              <w:tab/>
              <w:t>4</w:t>
            </w:r>
          </w:hyperlink>
        </w:p>
        <w:p>
          <w:pPr>
            <w:pStyle w:val="21"/>
            <w:tabs>
              <w:tab w:val="clear" w:pos="9355"/>
              <w:tab w:val="right" w:pos="9638" w:leader="dot"/>
            </w:tabs>
            <w:rPr/>
          </w:pPr>
          <w:hyperlink w:anchor="__RefHeading___Toc6570_1566460903">
            <w:r>
              <w:rPr/>
              <w:t>1.1 Постановка задачи.</w:t>
              <w:tab/>
              <w:t>4</w:t>
            </w:r>
          </w:hyperlink>
        </w:p>
        <w:p>
          <w:pPr>
            <w:pStyle w:val="21"/>
            <w:tabs>
              <w:tab w:val="clear" w:pos="9355"/>
              <w:tab w:val="right" w:pos="9638" w:leader="dot"/>
            </w:tabs>
            <w:rPr/>
          </w:pPr>
          <w:hyperlink w:anchor="__RefHeading___Toc6572_1566460903">
            <w:r>
              <w:rPr/>
              <w:t>1.2 Описание используемых методов</w:t>
              <w:tab/>
              <w:t>5</w:t>
            </w:r>
          </w:hyperlink>
        </w:p>
        <w:p>
          <w:pPr>
            <w:pStyle w:val="21"/>
            <w:tabs>
              <w:tab w:val="clear" w:pos="9355"/>
              <w:tab w:val="right" w:pos="9638" w:leader="dot"/>
            </w:tabs>
            <w:rPr/>
          </w:pPr>
          <w:hyperlink w:anchor="__RefHeading___Toc6574_1566460903">
            <w:r>
              <w:rPr/>
              <w:t>1.3 Разведочный анализ данных</w:t>
              <w:tab/>
              <w:t>14</w:t>
            </w:r>
          </w:hyperlink>
        </w:p>
        <w:p>
          <w:pPr>
            <w:pStyle w:val="11"/>
            <w:rPr/>
          </w:pPr>
          <w:hyperlink w:anchor="__RefHeading___Toc6576_1566460903">
            <w:r>
              <w:rPr/>
              <w:t>2 Практическая часть</w:t>
              <w:tab/>
              <w:t>22</w:t>
            </w:r>
          </w:hyperlink>
        </w:p>
        <w:p>
          <w:pPr>
            <w:pStyle w:val="21"/>
            <w:tabs>
              <w:tab w:val="clear" w:pos="9355"/>
              <w:tab w:val="right" w:pos="9638" w:leader="dot"/>
            </w:tabs>
            <w:rPr/>
          </w:pPr>
          <w:hyperlink w:anchor="__RefHeading___Toc6578_1566460903">
            <w:r>
              <w:rPr/>
              <w:t>2.1 Предобработка данных</w:t>
              <w:tab/>
              <w:t>22</w:t>
            </w:r>
          </w:hyperlink>
        </w:p>
        <w:p>
          <w:pPr>
            <w:pStyle w:val="21"/>
            <w:tabs>
              <w:tab w:val="clear" w:pos="9355"/>
              <w:tab w:val="right" w:pos="9638" w:leader="dot"/>
            </w:tabs>
            <w:rPr/>
          </w:pPr>
          <w:hyperlink w:anchor="__RefHeading___Toc6580_1566460903">
            <w:r>
              <w:rPr/>
              <w:t>2.2 Разработка и обучение модели</w:t>
              <w:tab/>
              <w:t>33</w:t>
            </w:r>
          </w:hyperlink>
        </w:p>
        <w:p>
          <w:pPr>
            <w:pStyle w:val="31"/>
            <w:tabs>
              <w:tab w:val="clear" w:pos="9071"/>
              <w:tab w:val="right" w:pos="9638" w:leader="dot"/>
            </w:tabs>
            <w:rPr/>
          </w:pPr>
          <w:hyperlink w:anchor="__RefHeading___Toc19540_3616107706">
            <w:r>
              <w:rPr/>
              <w:t>2.1.1 Предсказание прочности при растяжении</w:t>
              <w:tab/>
              <w:t>33</w:t>
            </w:r>
          </w:hyperlink>
        </w:p>
        <w:p>
          <w:pPr>
            <w:pStyle w:val="31"/>
            <w:tabs>
              <w:tab w:val="clear" w:pos="9071"/>
              <w:tab w:val="right" w:pos="9638" w:leader="dot"/>
            </w:tabs>
            <w:rPr/>
          </w:pPr>
          <w:hyperlink w:anchor="__RefHeading___Toc19542_3616107706">
            <w:r>
              <w:rPr/>
              <w:t>2.1.1 Предсказание модуля упругости при растяжении</w:t>
              <w:tab/>
              <w:t>34</w:t>
            </w:r>
          </w:hyperlink>
        </w:p>
        <w:p>
          <w:pPr>
            <w:pStyle w:val="21"/>
            <w:tabs>
              <w:tab w:val="clear" w:pos="9355"/>
              <w:tab w:val="right" w:pos="9638" w:leader="dot"/>
            </w:tabs>
            <w:rPr/>
          </w:pPr>
          <w:hyperlink w:anchor="__RefHeading___Toc6582_1566460903">
            <w:r>
              <w:rPr/>
              <w:t>2.3 Тестирование модели</w:t>
              <w:tab/>
              <w:t>35</w:t>
            </w:r>
          </w:hyperlink>
        </w:p>
        <w:p>
          <w:pPr>
            <w:pStyle w:val="21"/>
            <w:tabs>
              <w:tab w:val="clear" w:pos="9355"/>
              <w:tab w:val="right" w:pos="9638" w:leader="dot"/>
            </w:tabs>
            <w:rPr/>
          </w:pPr>
          <w:hyperlink w:anchor="__RefHeading___Toc3786_2159239638">
            <w:r>
              <w:rPr/>
              <w:t>2.4 Написать нейронную сеть, которая будет рекомендовать соотношение матрица-наполнитель</w:t>
              <w:tab/>
              <w:t>36</w:t>
            </w:r>
          </w:hyperlink>
        </w:p>
        <w:p>
          <w:pPr>
            <w:pStyle w:val="21"/>
            <w:tabs>
              <w:tab w:val="clear" w:pos="9355"/>
              <w:tab w:val="right" w:pos="9638" w:leader="dot"/>
            </w:tabs>
            <w:rPr/>
          </w:pPr>
          <w:hyperlink w:anchor="__RefHeading___Toc6584_1566460903">
            <w:r>
              <w:rPr/>
              <w:t>2.5 Разработка приложения</w:t>
              <w:tab/>
              <w:t>37</w:t>
            </w:r>
          </w:hyperlink>
        </w:p>
        <w:p>
          <w:pPr>
            <w:pStyle w:val="21"/>
            <w:tabs>
              <w:tab w:val="clear" w:pos="9355"/>
              <w:tab w:val="right" w:pos="9638" w:leader="dot"/>
            </w:tabs>
            <w:rPr/>
          </w:pPr>
          <w:hyperlink w:anchor="__RefHeading___Toc6586_1566460903">
            <w:r>
              <w:rPr/>
              <w:t>2.6 Создание удаленного репозитория и загрузка результатов работы</w:t>
              <w:tab/>
              <w:t>41</w:t>
            </w:r>
          </w:hyperlink>
        </w:p>
        <w:p>
          <w:pPr>
            <w:pStyle w:val="11"/>
            <w:rPr/>
          </w:pPr>
          <w:hyperlink w:anchor="__RefHeading___Toc6588_1566460903">
            <w:r>
              <w:rPr/>
              <w:t>Заключение</w:t>
              <w:tab/>
              <w:t>42</w:t>
            </w:r>
          </w:hyperlink>
        </w:p>
        <w:p>
          <w:pPr>
            <w:pStyle w:val="11"/>
            <w:rPr/>
          </w:pPr>
          <w:hyperlink w:anchor="__RefHeading___Toc6590_1566460903">
            <w:r>
              <w:rPr/>
              <w:t>Библиографический список</w:t>
              <w:tab/>
              <w:t>43</w:t>
            </w:r>
          </w:hyperlink>
        </w:p>
        <w:p>
          <w:pPr>
            <w:pStyle w:val="11"/>
            <w:rPr/>
          </w:pPr>
          <w:hyperlink w:anchor="__RefHeading___Toc6592_1566460903">
            <w:r>
              <w:rPr/>
              <w:t>Приложение 1</w:t>
              <w:tab/>
              <w:t>44</w:t>
            </w:r>
          </w:hyperlink>
        </w:p>
        <w:p>
          <w:pPr>
            <w:pStyle w:val="11"/>
            <w:rPr/>
          </w:pPr>
          <w:hyperlink w:anchor="__RefHeading___Toc6594_1566460903">
            <w:r>
              <w:rPr/>
              <w:t>Приложение 2</w:t>
              <w:tab/>
              <w:t>45</w:t>
            </w:r>
          </w:hyperlink>
          <w:r>
            <w:rPr/>
            <w:fldChar w:fldCharType="end"/>
          </w:r>
        </w:p>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sdtContent>
    </w:sdt>
    <w:p>
      <w:pPr>
        <w:pStyle w:val="1"/>
        <w:rPr>
          <w:rFonts w:ascii="Times New Roman" w:hAnsi="Times New Roman"/>
          <w:sz w:val="28"/>
          <w:szCs w:val="28"/>
        </w:rPr>
      </w:pPr>
      <w:bookmarkStart w:id="2" w:name="__RefHeading___Toc6566_1566460903"/>
      <w:bookmarkEnd w:id="2"/>
      <w:r>
        <w:rPr/>
        <w:t>Введение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3" w:name="__RefHeading___Toc6568_1566460903"/>
      <w:bookmarkEnd w:id="3"/>
      <w:r>
        <w:rPr/>
        <w:t>1 Аналитическая часть</w:t>
      </w:r>
    </w:p>
    <w:p>
      <w:pPr>
        <w:pStyle w:val="2"/>
        <w:ind w:left="0" w:right="0" w:firstLine="709"/>
        <w:rPr>
          <w:rFonts w:ascii="Times New Roman" w:hAnsi="Times New Roman"/>
          <w:sz w:val="28"/>
          <w:szCs w:val="28"/>
        </w:rPr>
      </w:pPr>
      <w:bookmarkStart w:id="4" w:name="__RefHeading___Toc6570_1566460903"/>
      <w:bookmarkEnd w:id="4"/>
      <w:r>
        <w:rPr/>
        <w:t>1.1 Постановка задачи.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5" w:name="__RefHeading___Toc6572_1566460903"/>
      <w:bookmarkEnd w:id="5"/>
      <w:r>
        <w:rPr/>
        <w:t>1.2 Описание используемых методов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Рассмотрим некоторые наиболее распространенные методы машинного обучения для решения задач регрессии.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Линейная регрессия подгоняет линейную модель с коэффицентами </w:t>
      </w:r>
      <w:r>
        <w:rPr>
          <w:rFonts w:ascii="Times New Roman" w:hAnsi="Times New Roman"/>
          <w:sz w:val="28"/>
          <w:szCs w:val="28"/>
          <w:lang w:val="en-US"/>
        </w:rPr>
        <w:t>w</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1</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p</w:t>
      </w:r>
      <w:r>
        <w:rPr>
          <w:rFonts w:ascii="Times New Roman" w:hAnsi="Times New Roman"/>
          <w:position w:val="0"/>
          <w:sz w:val="28"/>
          <w:sz w:val="28"/>
          <w:szCs w:val="28"/>
          <w:vertAlign w:val="baseline"/>
          <w:lang w:val="en-US"/>
        </w:rPr>
        <w:t xml:space="preserve"> )</w:t>
      </w:r>
      <w:r>
        <w:rPr>
          <w:rFonts w:ascii="Times New Roman" w:hAnsi="Times New Roman"/>
          <w:sz w:val="28"/>
          <w:szCs w:val="28"/>
          <w:lang w:val="en-US"/>
        </w:rPr>
        <w:t xml:space="preserve"> </w:t>
      </w:r>
      <w:r>
        <w:rPr>
          <w:rFonts w:ascii="Times New Roman" w:hAnsi="Times New Roman"/>
          <w:sz w:val="28"/>
          <w:szCs w:val="28"/>
          <w:lang w:val="ru-RU"/>
        </w:rPr>
        <w:t xml:space="preserve">к минимизации остаточной суммы квадрата между наблюдаемым целевоым признаком в наборе данных и предсказанным целевым признаком по линейной аппроксимации.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быстр и прост в реализации; легко интерпретируем;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имеет меньшую сложность по сравнению с другими алгоритмами;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Недостатки: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моделирует только прямые линейные зависимости;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требует прямую связь между зависимыми и независимыми переменными;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выбросы оказывают огромное влияние, а границы линейны.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опорных векторов (англ. support vector machine, SVM) — один из наиболее популярных методов обучения, который применяется для решения задач классификации и регрессии. Основная идея метода заключается в построении гиперплоскости, разделяющей объекты выборки оптимальным способом. Алгоритм работает в предположении, что чем больше расстояние (зазор) между разделяющей гиперплоскостью и объектами разделяемых классов, тем меньше будет средняя ошибка классификатора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Регрессия опорных векторов </w:t>
      </w:r>
      <w:r>
        <w:rPr>
          <w:rFonts w:eastAsia="Times New Roman" w:cs="Times New Roman" w:ascii="Times New Roman" w:hAnsi="Times New Roman"/>
          <w:sz w:val="28"/>
          <w:szCs w:val="28"/>
        </w:rPr>
        <w:t>−</w:t>
      </w:r>
      <w:r>
        <w:rPr>
          <w:rFonts w:ascii="Times New Roman" w:hAnsi="Times New Roman"/>
          <w:sz w:val="28"/>
          <w:szCs w:val="28"/>
        </w:rPr>
        <w:t xml:space="preserve"> это контролируемая модель обучения, которую можно использовать для выполнения как линейной, так и нелинейной регрессии. Цель применения линейной регрессии </w:t>
      </w:r>
      <w:r>
        <w:rPr>
          <w:rFonts w:eastAsia="Times New Roman" w:cs="Times New Roman" w:ascii="Times New Roman" w:hAnsi="Times New Roman"/>
          <w:sz w:val="28"/>
          <w:szCs w:val="28"/>
        </w:rPr>
        <w:t>−</w:t>
      </w:r>
      <w:r>
        <w:rPr>
          <w:rFonts w:ascii="Times New Roman" w:hAnsi="Times New Roman"/>
          <w:sz w:val="28"/>
          <w:szCs w:val="28"/>
        </w:rPr>
        <w:t xml:space="preserve"> минимизировать ошибку между прогнозом и данными. Однако цель применения регрессии опорных векторов к набору данных </w:t>
      </w:r>
      <w:r>
        <w:rPr>
          <w:rFonts w:eastAsia="Times New Roman" w:cs="Times New Roman" w:ascii="Times New Roman" w:hAnsi="Times New Roman"/>
          <w:sz w:val="28"/>
          <w:szCs w:val="28"/>
        </w:rPr>
        <w:t>−</w:t>
      </w:r>
      <w:r>
        <w:rPr>
          <w:rFonts w:ascii="Times New Roman" w:hAnsi="Times New Roman"/>
          <w:sz w:val="28"/>
          <w:szCs w:val="28"/>
        </w:rPr>
        <w:t xml:space="preserve"> убедиться, что ошибки не превышают пороговое значение. В SVR мы помещаем как можно больше экземпляров между строками, ограничивая при этом нарушение полей.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Сложность подбора времени более чем квадратична с количеством выборок, что затрудняет масштабирование до наборов данных, содержащих более пары 10000 выборок.</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SVM перед методом стохастического градиента и нейронными сетями: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задача выпуклого квадратичного программирования хорошо изучена и имеет единственное решение.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метод опорных векторов эквивалентен двухслойной нейронной сети, где число нейронов на скрытом слое определяется автоматически как число опорных векторов.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принцип оптимальной разделяющей гиперплоскости приводит к максимизации ширины разделяющей полосы, а следовательно, к более уверенной классификации.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 классического SVM:</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неустойчивость к шуму: выбросы в исходных данных становятся опорными объектами-нарушителями и напрямую влияют на построение разделяющей гиперплоскости.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описаны общие методы построения ядер и спрямляющих пространств, наиболее подходящих для конкретной задачи.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отбора признаков.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необходимо подбирать константу C при помощи кросс-валидации.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Регрессия на основе соседей может использоваться в тех случаях, когда метки данных являются непрерывными, а не дискретными переменными. Метка, присвоенная точке запроса, вычисляется на основе среднего значения меток ее ближайших соседей. Базовая регрессия ближайших соседей использует одинаковые веса: то есть каждая точка в локальной окрестности вносит одинаковый вклад в классификацию точки запроса. При некоторых обстоятельствах может быть выгодно взвешивать точки таким образом, чтобы близлежащие точки вносили больший вклад в регрессию, чем удаленные точки.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Несмотря на свою простоту, метод К ближайших соседей успешно решает большое количество задач классификации и регрессии, включая рукописные цифры и сцены спутниковых изображений. Будучи непараметрическим методом, он часто оказывается успешным в ситуациях классификации, когда граница принятия решения очень нерегулярна.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прост и легко реализуем.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чувствителен к выбросам.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необходимости строить модель, настраивать несколько параметров или делать дополнительные допущения.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универсален. Его можно использовать для обоих типов задач: классификации и регрессии.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работает значительно медленнее при увеличении объема выборки, предикторов или независимых переменных.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 аргумента выше следуют большие вычислительные затраты во время выполнения.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всегда нужно определять оптимальное значение k.</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Деревья решений </w:t>
      </w:r>
      <w:r>
        <w:rPr>
          <w:rFonts w:eastAsia="Times New Roman" w:cs="Times New Roman" w:ascii="Times New Roman" w:hAnsi="Times New Roman"/>
          <w:sz w:val="28"/>
          <w:szCs w:val="28"/>
        </w:rPr>
        <w:t>−</w:t>
      </w:r>
      <w:r>
        <w:rPr>
          <w:rFonts w:ascii="Times New Roman" w:hAnsi="Times New Roman"/>
          <w:sz w:val="28"/>
          <w:szCs w:val="28"/>
        </w:rPr>
        <w:t xml:space="preserve"> это непараметрический метод обучения с контролем, используемый для классификации и регрессии. Цель состоит в том, чтобы создать модель, которая предсказывает значение целевой переменной путем изучения простых правил принятия решений, выведенных из объектов данных. Дерево можно рассматривать как кусочно-постоянное приближение.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Некоторые преимущества метода деревьев решений: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простой для понимания и интерпретации. Деревья можно визуализировать.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требуется небольшая подготовка данных. Другие методы часто требуют нормализации данных, создания фиктивных переменных и удаления пустых значений. Однако,  этот модуль не поддерживает пропущенные значения.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стоимость использования дерева (т.е. прогнозирования данных) логарифмически зависит от количества точек данных, используемых для обучения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 способен обрабатывать как числовые, так и категориальные данные. Однако реализация scikit-learn пока не поддерживает категориальные переменные. Другие методы обычно специализируются на анализе наборов данных, которые имеют только один тип переменной.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способен обрабатывать проблемы с несколькими выводами.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использует модель белого ящика. Если данная ситуация наблюдаема в модели, объяснение условия легко объясняется булевой логикой. В отличие от этого, в модели черного ящика (например, в искусственной нейронной сети) результаты могут быть более сложными для интерпретации.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 проверить модель с помощью статистических тестов. Это позволяет учитывать надежность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работает хорошо, даже если его предположения несколько нарушаются истинной моделью, из которой были сгенерированы данные.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деревьев решений относятся: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слишком сложные деревья, которые плохо обобщают данные. Это называется перенасыщением. Чтобы избежать этой проблемы, необходимы такие механизмы, как обрезка, установка минимального количества выборок, требуемых для конечного узла, или установка максимальной глубины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деревья решений могут быть нестабильными, поскольку небольшие отклонения в данных могут привести к созданию совершенно другого дерева. Эта проблема устраняется путем использования деревьев решений в ансамбле.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предсказания деревьев решений не являются ни гладкими, ни непрерывными, а кусочно-постоянными приближениями. Поэтому они не очень хороши для экстраполяции.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известно, что проблема обучения оптимального дерева решений является NP-полной при нескольких аспектах оптимальности и даже для простых концепций. Следовательно, практические алгоритмы обучения дерева решений основаны на эвристических алгоритмах, таких как жадный алгоритм, где локально оптимальные решения принимаются на каждом узле. Такие алгоритмы не могут гарантировать возврат глобально оптимального дерева решений. Это может быть смягчено путем обучения нескольких деревьев в обучаемом ансамбле, где функции и образцы выбираются случайным образом с заменой.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есть концепции, которые трудно изучить, потому что деревья решений не выражают их легко, например, XOR, проблемы с четностью или мультиплексором.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предвзятые деревья, если некоторые классы доминируют. Поэтому рекомендуется сбалансировать набор данных перед подгонкой к дереву решений.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(SGD) это простой, но очень эффективный подход к подгонке линейных классификаторов и регрессоров под выпуклые функции потерь. Несмотря на то, что SGD существует в сообществе машинного обучения уже давно, в последнее время ему уделяется значительное внимание в контексте крупномасштабного 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представляет собой итерационный метод оптимизации целевой функции с подходящими свойствами гладкости (например, дифференцируемыми или поддифференцируемыми). Его можно рассматривать как стохастическое приближение оптимизации градиентного спуска, поскольку он заменяет фактический градиент (рассчитанный на основе всего набора данных) его оценкой (рассчитанной на основе случайно выбранного подмножества данных). Особенно в задачах многомерной оптимизации это снижает очень высокую вычислительную нагрузку, обеспечивая более быстрые итерации в обмен на более низкую скорость сходимости.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SGD успешно применяется для решения крупномасштабных и разреженных задач машинного обучения, часто встречающихся при классификации текста и обработке естественного языка. Учитывая, что данных мало, классификаторы в этом модуле легко масштабируются для решения задач с более чем 10 ^ 5 обучающими примерами и более чем 10 ^ 5 функциями.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Строго говоря, SGD - это просто метод оптимизации и не соответствует определенному семейству моделей машинного обучения. Это всего лишь способ для обучения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Style27"/>
        <w:bidi w:val="0"/>
        <w:spacing w:lineRule="auto" w:line="360"/>
        <w:ind w:left="0" w:right="0" w:firstLine="709"/>
        <w:jc w:val="both"/>
        <w:rPr>
          <w:rFonts w:ascii="Times New Roman" w:hAnsi="Times New Roman"/>
          <w:sz w:val="28"/>
          <w:szCs w:val="28"/>
        </w:rPr>
      </w:pPr>
      <w:r>
        <w:rPr>
          <w:sz w:val="28"/>
          <w:szCs w:val="28"/>
        </w:rPr>
        <w:t>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Эта модель оптимизирует квадрат ошибки с использованием LBFGS или стохастического градиентного спуска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MLPRegressor обучается итеративно, поскольку на каждом временном шаге вычисляются частные производные функции потерь по параметрам модели для обновления параметров.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функции потерь также может быть добавлен термин регуляризации, который уменьшает параметры модели для предотвращения переобучения.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Эта реализация работает с данными, представленными в виде плотных и разреженных числовых массивов значений с плавающей запятой.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многослойного перцептрона: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изучать нелинейные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изучения моделей в режиме реального времени (онлайн-обучение) с использованием partial_fit.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многослойного персептрона (MLP) можно отнести: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требует настройки ряда гиперпараметров, таких как количество скрытых нейронов, слоев и итераций.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чувствителен к масштабированию функций.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Лассо — это линейная модель, которая оценивает разреженные коэффициенты. Это полезно в некоторых контекстах из-за своей тенденции отдавать предпочтение решениям с меньшим количеством ненулевых коэффициентов, эффективно уменьшая количество функций, от которых зависит данное решение. По этой причине лассо и его варианты являются фундаментальными для области сжатого зондирования. При определенных условиях он может восстановить точный набор ненулевых коэффициентов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повышения точности предсказания применяются ансамблевые методы метод случайного леса (Random Forest Regressor), метод градиентного бустинга (GradientBoostingRegressor), стекинг (StackingRegressor) и др.</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Наиболее популярными ансамблевыми методами являются: стекинг, бэггинг,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Стекинг: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560570" cy="3919855"/>
            <wp:effectExtent l="0" t="0" r="0" b="0"/>
            <wp:wrapTopAndBottom/>
            <wp:docPr id="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8" descr=""/>
                    <pic:cNvPicPr>
                      <a:picLocks noChangeAspect="1" noChangeArrowheads="1"/>
                    </pic:cNvPicPr>
                  </pic:nvPicPr>
                  <pic:blipFill>
                    <a:blip r:embed="rId2"/>
                    <a:srcRect l="-207" t="-241" r="526" b="775"/>
                    <a:stretch>
                      <a:fillRect/>
                    </a:stretch>
                  </pic:blipFill>
                  <pic:spPr bwMode="auto">
                    <a:xfrm>
                      <a:off x="0" y="0"/>
                      <a:ext cx="4560570" cy="3919855"/>
                    </a:xfrm>
                    <a:prstGeom prst="rect">
                      <a:avLst/>
                    </a:prstGeom>
                  </pic:spPr>
                </pic:pic>
              </a:graphicData>
            </a:graphic>
          </wp:anchor>
        </w:drawing>
      </w:r>
      <w:r>
        <w:rPr>
          <w:rFonts w:ascii="Times New Roman" w:hAnsi="Times New Roman"/>
          <w:sz w:val="28"/>
          <w:szCs w:val="28"/>
        </w:rPr>
        <w:t xml:space="preserve">Рисунок 1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стекинга</w:t>
      </w:r>
    </w:p>
    <w:p>
      <w:pPr>
        <w:pStyle w:val="Normal"/>
        <w:bidi w:val="0"/>
        <w:spacing w:lineRule="auto" w:line="360"/>
        <w:ind w:left="0" w:right="0" w:firstLine="709"/>
        <w:jc w:val="center"/>
        <w:rPr>
          <w:rFonts w:eastAsia="NSimSun" w:cs="Arial"/>
        </w:rPr>
      </w:pPr>
      <w:r>
        <w:rPr>
          <w:rFonts w:eastAsia="NSimSun" w:cs="Arial"/>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Бэггинг: в этом случае однородные модели обучают на разных наборах данных и объединяют. Получают прогноз путём усреднения. Если использовать в качестве слабого ученика деревья решений, то получится случайный лес .</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131310" cy="3905885"/>
            <wp:effectExtent l="0" t="0" r="0" b="0"/>
            <wp:wrapTopAndBottom/>
            <wp:docPr id="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9" descr=""/>
                    <pic:cNvPicPr>
                      <a:picLocks noChangeAspect="1" noChangeArrowheads="1"/>
                    </pic:cNvPicPr>
                  </pic:nvPicPr>
                  <pic:blipFill>
                    <a:blip r:embed="rId3"/>
                    <a:srcRect l="0" t="0" r="896" b="1349"/>
                    <a:stretch>
                      <a:fillRect/>
                    </a:stretch>
                  </pic:blipFill>
                  <pic:spPr bwMode="auto">
                    <a:xfrm>
                      <a:off x="0" y="0"/>
                      <a:ext cx="4131310" cy="3905885"/>
                    </a:xfrm>
                    <a:prstGeom prst="rect">
                      <a:avLst/>
                    </a:prstGeom>
                  </pic:spPr>
                </pic:pic>
              </a:graphicData>
            </a:graphic>
          </wp:anchor>
        </w:drawing>
      </w:r>
      <w:r>
        <w:rPr>
          <w:rFonts w:ascii="Times New Roman" w:hAnsi="Times New Roman"/>
          <w:sz w:val="28"/>
          <w:szCs w:val="28"/>
        </w:rPr>
        <w:t xml:space="preserve">Рисунок 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бэггинга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Бустинг: при использовании данного метода несколько однородных моделей последовательно обучаются, исправляя ошибки друг друга.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бустинга в чём то схож с методом бэггинга: берётся множество одинаковых моделей и объединяется, чтобы получить сильного ученика. Но разница заключается в том, что модели приспосабливаются к данным последовательно, то есть каждая модель будет исправлять ошибки предыдущей.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Базовые модели для бустинга - это модели с низким разбросом и высоким смещением. Например неглубокие деревья решений. Одна из причин такого выбора моделей - они требуют меньше вычислительных затрат. Ещё бустинг (в отличии от бэггинга) нельзя распараллелить.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Существует два наиболее распространённых алгоритма бустинга - адаптивный бустинг и градиентный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6" w:name="__RefHeading___Toc6574_1566460903"/>
      <w:bookmarkEnd w:id="6"/>
      <w:r>
        <w:rPr/>
        <w:t>1.3 Разведочный анализ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Разведочный анализ данных </w:t>
      </w:r>
      <w:r>
        <w:rPr>
          <w:rFonts w:eastAsia="Times New Roman" w:cs="Times New Roman" w:ascii="Times New Roman" w:hAnsi="Times New Roman"/>
          <w:sz w:val="28"/>
          <w:szCs w:val="28"/>
        </w:rPr>
        <w:t>−</w:t>
      </w:r>
      <w:r>
        <w:rPr>
          <w:rFonts w:ascii="Times New Roman" w:hAnsi="Times New Roman"/>
          <w:sz w:val="28"/>
          <w:szCs w:val="28"/>
        </w:rPr>
        <w:t xml:space="preserve"> один из первых и определяющих шагов в обработке данных.Разведочный анализ данных означает изучение данных для получения из них практической информации. Он включает в себя анализ и обобщение массивных наборов данных, часто в форме диаграмм и графиков.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Цель разведочного анализа </w:t>
      </w:r>
      <w:r>
        <w:rPr>
          <w:rFonts w:eastAsia="Times New Roman" w:cs="Times New Roman" w:ascii="Times New Roman" w:hAnsi="Times New Roman"/>
          <w:sz w:val="28"/>
          <w:szCs w:val="28"/>
          <w:u w:val="none"/>
        </w:rPr>
        <w:t>−</w:t>
      </w:r>
      <w:r>
        <w:rPr>
          <w:rFonts w:ascii="Times New Roman" w:hAnsi="Times New Roman"/>
          <w:sz w:val="28"/>
          <w:szCs w:val="28"/>
        </w:rPr>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В качестве инструментов анализа и визуализации данных используются оценка статистических характеристик датасета; гистограммы распределения каждого признака; диаграммы ящика с усами; попарные графики рассеяния точек; квантиль-квантильный график; тепловая карта взаимной корелляции признаков;  проверка наличия пропусков и дубликатов.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Проведем разведочный анализ данных.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На входе имеется два файла с наборами данных X_bp.xlsx, X_nup.xlsx, число строк в них различное, 1023 и 1040 соответственно. По условию задачи объединим данные файлы в один датасет по индексу с типом объединения </w:t>
      </w:r>
      <w:r>
        <w:rPr>
          <w:rFonts w:ascii="Times New Roman" w:hAnsi="Times New Roman"/>
          <w:sz w:val="28"/>
          <w:szCs w:val="28"/>
          <w:lang w:val="en-US"/>
        </w:rPr>
        <w:t xml:space="preserve">INNER, </w:t>
      </w:r>
      <w:r>
        <w:rPr>
          <w:rFonts w:ascii="Times New Roman" w:hAnsi="Times New Roman"/>
          <w:sz w:val="28"/>
          <w:szCs w:val="28"/>
          <w:lang w:val="ru-RU"/>
        </w:rPr>
        <w:t>при этом остаются строки, присутствующие только в обоих датасетах.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Информация о датасете представлена на рисунке 1. Видно, что все переменные содержат значения float64, качественные характеристики отсутствуют; пропусков не имеется; ни одна из записей не является NaN, очистка не требуется. Объединенный датасет имеет всего 1023 строки.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На рисунке 2 представлено содержание уникальных значений в датасете. В основном в каждом столбце содержатся только уникальные значения, но в столбце "Угол нашивки, град" всего 2 значения.</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658995" cy="2851785"/>
            <wp:effectExtent l="0" t="0" r="0" b="0"/>
            <wp:wrapTopAndBottom/>
            <wp:docPr id="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1" descr=""/>
                    <pic:cNvPicPr>
                      <a:picLocks noChangeAspect="1" noChangeArrowheads="1"/>
                    </pic:cNvPicPr>
                  </pic:nvPicPr>
                  <pic:blipFill>
                    <a:blip r:embed="rId4"/>
                    <a:srcRect l="0" t="0" r="997" b="1416"/>
                    <a:stretch>
                      <a:fillRect/>
                    </a:stretch>
                  </pic:blipFill>
                  <pic:spPr bwMode="auto">
                    <a:xfrm>
                      <a:off x="0" y="0"/>
                      <a:ext cx="4658995" cy="2851785"/>
                    </a:xfrm>
                    <a:prstGeom prst="rect">
                      <a:avLst/>
                    </a:prstGeom>
                  </pic:spPr>
                </pic:pic>
              </a:graphicData>
            </a:graphic>
          </wp:anchor>
        </w:drawing>
      </w:r>
      <w:r>
        <w:rPr>
          <w:rFonts w:ascii="Times New Roman" w:hAnsi="Times New Roman"/>
          <w:sz w:val="28"/>
          <w:szCs w:val="28"/>
          <w:lang w:val="ru-RU"/>
        </w:rPr>
        <w:t xml:space="preserve">Рисунок 1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Информация о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3096260" cy="2331085"/>
            <wp:effectExtent l="0" t="0" r="0" b="0"/>
            <wp:wrapTopAndBottom/>
            <wp:docPr id="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2" descr=""/>
                    <pic:cNvPicPr>
                      <a:picLocks noChangeAspect="1" noChangeArrowheads="1"/>
                    </pic:cNvPicPr>
                  </pic:nvPicPr>
                  <pic:blipFill>
                    <a:blip r:embed="rId5"/>
                    <a:srcRect l="0" t="0" r="1319" b="2070"/>
                    <a:stretch>
                      <a:fillRect/>
                    </a:stretch>
                  </pic:blipFill>
                  <pic:spPr bwMode="auto">
                    <a:xfrm>
                      <a:off x="0" y="0"/>
                      <a:ext cx="3096260" cy="2331085"/>
                    </a:xfrm>
                    <a:prstGeom prst="rect">
                      <a:avLst/>
                    </a:prstGeom>
                  </pic:spPr>
                </pic:pic>
              </a:graphicData>
            </a:graphic>
          </wp:anchor>
        </w:drawing>
      </w:r>
      <w:r>
        <w:rPr>
          <w:rFonts w:ascii="Times New Roman" w:hAnsi="Times New Roman"/>
          <w:sz w:val="28"/>
          <w:szCs w:val="28"/>
        </w:rPr>
        <w:t xml:space="preserve">Рисунок 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Содержание уникальных значений в столбцах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Дополнительный анализ датасета показывает, что пропущенные данные отсутствуют. Также в датасете отсутствуют дубликаты в записях.</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Из описательной статистики на рисунке 3 видно, что медианное и среднее значение каждой переменной довольно близки друг к другу, кроме угла нашивки, что говорит о распределении данных переменных близком к нормальному. </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093460" cy="6146800"/>
            <wp:effectExtent l="0" t="0" r="0" b="0"/>
            <wp:wrapTopAndBottom/>
            <wp:docPr id="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4" descr=""/>
                    <pic:cNvPicPr>
                      <a:picLocks noChangeAspect="1" noChangeArrowheads="1"/>
                    </pic:cNvPicPr>
                  </pic:nvPicPr>
                  <pic:blipFill>
                    <a:blip r:embed="rId6"/>
                    <a:srcRect l="0" t="0" r="436" b="592"/>
                    <a:stretch>
                      <a:fillRect/>
                    </a:stretch>
                  </pic:blipFill>
                  <pic:spPr bwMode="auto">
                    <a:xfrm>
                      <a:off x="0" y="0"/>
                      <a:ext cx="6093460" cy="6146800"/>
                    </a:xfrm>
                    <a:prstGeom prst="rect">
                      <a:avLst/>
                    </a:prstGeom>
                  </pic:spPr>
                </pic:pic>
              </a:graphicData>
            </a:graphic>
          </wp:anchor>
        </w:drawing>
      </w:r>
      <w:r>
        <w:rPr>
          <w:rFonts w:ascii="Times New Roman" w:hAnsi="Times New Roman"/>
          <w:sz w:val="28"/>
          <w:szCs w:val="28"/>
          <w:lang w:val="en-US"/>
        </w:rPr>
        <w:t>Рисунок 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Построив график типа боксплот («ящик с усами») для исходного датасета, из рисунка 4 видно</w:t>
      </w:r>
      <w:r>
        <w:rPr>
          <w:rFonts w:eastAsia="NSimSun" w:cs="Arial" w:ascii="Times New Roman" w:hAnsi="Times New Roman"/>
          <w:sz w:val="28"/>
          <w:szCs w:val="28"/>
        </w:rPr>
        <w:t xml:space="preserve">, что порядок значений переменных сильно различается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практически в 1000 раз.</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5017770"/>
            <wp:effectExtent l="0" t="0" r="0" b="0"/>
            <wp:wrapTopAndBottom/>
            <wp:docPr id="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3" descr=""/>
                    <pic:cNvPicPr>
                      <a:picLocks noChangeAspect="1" noChangeArrowheads="1"/>
                    </pic:cNvPicPr>
                  </pic:nvPicPr>
                  <pic:blipFill>
                    <a:blip r:embed="rId7"/>
                    <a:srcRect l="0" t="0" r="0" b="814"/>
                    <a:stretch>
                      <a:fillRect/>
                    </a:stretch>
                  </pic:blipFill>
                  <pic:spPr bwMode="auto">
                    <a:xfrm>
                      <a:off x="0" y="0"/>
                      <a:ext cx="6120130" cy="5017770"/>
                    </a:xfrm>
                    <a:prstGeom prst="rect">
                      <a:avLst/>
                    </a:prstGeom>
                  </pic:spPr>
                </pic:pic>
              </a:graphicData>
            </a:graphic>
          </wp:anchor>
        </w:drawing>
      </w:r>
      <w:r>
        <w:rPr>
          <w:rFonts w:ascii="Times New Roman" w:hAnsi="Times New Roman"/>
          <w:sz w:val="28"/>
          <w:szCs w:val="28"/>
          <w:lang w:val="en-US"/>
        </w:rPr>
        <w:t xml:space="preserve">Рисунок </w:t>
      </w:r>
      <w:r>
        <w:rPr>
          <w:rFonts w:ascii="Times New Roman" w:hAnsi="Times New Roman"/>
          <w:sz w:val="28"/>
          <w:szCs w:val="28"/>
          <w:lang w:val="ru-RU"/>
        </w:rPr>
        <w:t xml:space="preserve">4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более информативного отображения характера распределения переменных в датасете можно построить гистаграммы распределения (рисунки 5 и 6)</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579745" cy="1472565"/>
            <wp:effectExtent l="0" t="0" r="0" b="0"/>
            <wp:wrapTopAndBottom/>
            <wp:docPr id="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5" descr=""/>
                    <pic:cNvPicPr>
                      <a:picLocks noChangeAspect="1" noChangeArrowheads="1"/>
                    </pic:cNvPicPr>
                  </pic:nvPicPr>
                  <pic:blipFill>
                    <a:blip r:embed="rId8"/>
                    <a:srcRect l="0" t="0" r="0" b="2039"/>
                    <a:stretch>
                      <a:fillRect/>
                    </a:stretch>
                  </pic:blipFill>
                  <pic:spPr bwMode="auto">
                    <a:xfrm>
                      <a:off x="0" y="0"/>
                      <a:ext cx="5579745" cy="1472565"/>
                    </a:xfrm>
                    <a:prstGeom prst="rect">
                      <a:avLst/>
                    </a:prstGeom>
                  </pic:spPr>
                </pic:pic>
              </a:graphicData>
            </a:graphic>
          </wp:anchor>
        </w:drawing>
      </w:r>
      <w:r>
        <w:rPr>
          <w:rFonts w:ascii="Times New Roman" w:hAnsi="Times New Roman"/>
          <w:sz w:val="28"/>
          <w:szCs w:val="28"/>
        </w:rPr>
        <w:t xml:space="preserve">Рисунок 5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Гисторгаммы распределения </w:t>
      </w:r>
      <w:r>
        <w:rPr>
          <w:rFonts w:eastAsia="NSimSun" w:cs="Arial" w:ascii="Times New Roman" w:hAnsi="Times New Roman"/>
          <w:sz w:val="28"/>
          <w:szCs w:val="28"/>
        </w:rPr>
        <w:t xml:space="preserve">для </w:t>
      </w:r>
      <w:r>
        <w:rPr>
          <w:rFonts w:eastAsia="NSimSun" w:cs="Arial" w:ascii="Times New Roman" w:hAnsi="Times New Roman"/>
          <w:sz w:val="28"/>
          <w:szCs w:val="28"/>
        </w:rPr>
        <w:t>переменных датасет</w:t>
      </w:r>
      <w:r>
        <w:rPr>
          <w:rFonts w:eastAsia="NSimSun" w:cs="Arial" w:ascii="Times New Roman" w:hAnsi="Times New Roman"/>
          <w:sz w:val="28"/>
          <w:szCs w:val="28"/>
        </w:rPr>
        <w:t>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579745" cy="8669020"/>
            <wp:effectExtent l="0" t="0" r="0" b="0"/>
            <wp:wrapTopAndBottom/>
            <wp:docPr id="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6" descr=""/>
                    <pic:cNvPicPr>
                      <a:picLocks noChangeAspect="1" noChangeArrowheads="1"/>
                    </pic:cNvPicPr>
                  </pic:nvPicPr>
                  <pic:blipFill>
                    <a:blip r:embed="rId9"/>
                    <a:srcRect l="0" t="0" r="0" b="6"/>
                    <a:stretch>
                      <a:fillRect/>
                    </a:stretch>
                  </pic:blipFill>
                  <pic:spPr bwMode="auto">
                    <a:xfrm>
                      <a:off x="0" y="0"/>
                      <a:ext cx="5579745" cy="8669020"/>
                    </a:xfrm>
                    <a:prstGeom prst="rect">
                      <a:avLst/>
                    </a:prstGeom>
                  </pic:spPr>
                </pic:pic>
              </a:graphicData>
            </a:graphic>
          </wp:anchor>
        </w:drawing>
      </w:r>
      <w:r>
        <w:rPr>
          <w:rFonts w:ascii="Times New Roman" w:hAnsi="Times New Roman"/>
          <w:sz w:val="28"/>
          <w:szCs w:val="28"/>
          <w:lang w:val="ru-RU"/>
        </w:rPr>
        <w:t xml:space="preserve">Рисунок 5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Гисторгаммы распределения </w:t>
      </w:r>
      <w:r>
        <w:rPr>
          <w:rFonts w:eastAsia="NSimSun" w:cs="Arial" w:ascii="Times New Roman" w:hAnsi="Times New Roman"/>
          <w:sz w:val="28"/>
          <w:szCs w:val="28"/>
          <w:lang w:val="ru-RU"/>
        </w:rPr>
        <w:t xml:space="preserve">для </w:t>
      </w:r>
      <w:r>
        <w:rPr>
          <w:rFonts w:eastAsia="NSimSun" w:cs="Arial" w:ascii="Times New Roman" w:hAnsi="Times New Roman"/>
          <w:sz w:val="28"/>
          <w:szCs w:val="28"/>
          <w:lang w:val="ru-RU"/>
        </w:rPr>
        <w:t>переменных датасет</w:t>
      </w:r>
      <w:r>
        <w:rPr>
          <w:rFonts w:eastAsia="NSimSun" w:cs="Arial" w:ascii="Times New Roman" w:hAnsi="Times New Roman"/>
          <w:sz w:val="28"/>
          <w:szCs w:val="28"/>
          <w:lang w:val="ru-RU"/>
        </w:rPr>
        <w:t>а</w:t>
      </w:r>
    </w:p>
    <w:p>
      <w:pPr>
        <w:pStyle w:val="Normal"/>
        <w:bidi w:val="0"/>
        <w:spacing w:lineRule="auto" w:line="360"/>
        <w:ind w:firstLine="709"/>
        <w:jc w:val="both"/>
        <w:rPr>
          <w:iCs/>
          <w:lang w:val="ru-RU"/>
        </w:rPr>
      </w:pPr>
      <w:r>
        <w:rPr>
          <w:rFonts w:ascii="Times New Roman" w:hAnsi="Times New Roman"/>
          <w:iCs/>
          <w:sz w:val="28"/>
          <w:szCs w:val="28"/>
          <w:lang w:val="ru-RU"/>
        </w:rPr>
        <w:t>По гистограммам распределения видно, что распределение величин близко к нормальному для большей части параметров,  за исключением поверхностной плотности – большое смещением влево и  угла нашивки – дискретная величина, график оказался не показателен.</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Построив диаграммы «ящик с усами» для переменных датасета, видно что практически у всех переменных имеются выбросы, </w:t>
      </w:r>
      <w:r>
        <w:rPr>
          <w:rFonts w:ascii="Times New Roman" w:hAnsi="Times New Roman"/>
          <w:iCs/>
          <w:sz w:val="28"/>
          <w:szCs w:val="28"/>
          <w:lang w:val="ru-RU"/>
        </w:rPr>
        <w:t>кроме угла нашивки, так как данный параметр принимает дискретные значения и диаграмма «ящик с усами» для него не показательна.</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545455" cy="5368290"/>
            <wp:effectExtent l="0" t="0" r="0" b="0"/>
            <wp:wrapTopAndBottom/>
            <wp:docPr id="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7" descr=""/>
                    <pic:cNvPicPr>
                      <a:picLocks noChangeAspect="1" noChangeArrowheads="1"/>
                    </pic:cNvPicPr>
                  </pic:nvPicPr>
                  <pic:blipFill>
                    <a:blip r:embed="rId10"/>
                    <a:srcRect l="0" t="0" r="618" b="662"/>
                    <a:stretch>
                      <a:fillRect/>
                    </a:stretch>
                  </pic:blipFill>
                  <pic:spPr bwMode="auto">
                    <a:xfrm>
                      <a:off x="0" y="0"/>
                      <a:ext cx="5545455" cy="5368290"/>
                    </a:xfrm>
                    <a:prstGeom prst="rect">
                      <a:avLst/>
                    </a:prstGeom>
                  </pic:spPr>
                </pic:pic>
              </a:graphicData>
            </a:graphic>
          </wp:anchor>
        </w:drawing>
      </w:r>
      <w:r>
        <w:rPr>
          <w:rFonts w:ascii="Times New Roman" w:hAnsi="Times New Roman"/>
          <w:sz w:val="28"/>
          <w:szCs w:val="28"/>
        </w:rPr>
        <w:t xml:space="preserve">Рисунок 6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3">
            <wp:simplePos x="0" y="0"/>
            <wp:positionH relativeFrom="column">
              <wp:posOffset>366395</wp:posOffset>
            </wp:positionH>
            <wp:positionV relativeFrom="paragraph">
              <wp:posOffset>176530</wp:posOffset>
            </wp:positionV>
            <wp:extent cx="5578475" cy="2577465"/>
            <wp:effectExtent l="0" t="0" r="0" b="0"/>
            <wp:wrapTopAndBottom/>
            <wp:docPr id="10"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8" descr=""/>
                    <pic:cNvPicPr>
                      <a:picLocks noChangeAspect="1" noChangeArrowheads="1"/>
                    </pic:cNvPicPr>
                  </pic:nvPicPr>
                  <pic:blipFill>
                    <a:blip r:embed="rId11"/>
                    <a:srcRect l="0" t="0" r="19" b="0"/>
                    <a:stretch>
                      <a:fillRect/>
                    </a:stretch>
                  </pic:blipFill>
                  <pic:spPr bwMode="auto">
                    <a:xfrm>
                      <a:off x="0" y="0"/>
                      <a:ext cx="5578475" cy="2577465"/>
                    </a:xfrm>
                    <a:prstGeom prst="rect">
                      <a:avLst/>
                    </a:prstGeom>
                  </pic:spPr>
                </pic:pic>
              </a:graphicData>
            </a:graphic>
          </wp:anchor>
        </w:drawing>
      </w:r>
      <w:r>
        <w:rPr>
          <w:rFonts w:ascii="Times New Roman" w:hAnsi="Times New Roman"/>
          <w:sz w:val="28"/>
          <w:szCs w:val="28"/>
        </w:rPr>
        <w:t xml:space="preserve">Рисунок 7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В целях выявления зависимостей между переменными можно построить </w:t>
      </w:r>
      <w:r>
        <w:rPr>
          <w:rFonts w:ascii="Times New Roman" w:hAnsi="Times New Roman"/>
          <w:iCs/>
          <w:sz w:val="28"/>
          <w:szCs w:val="28"/>
          <w:lang w:val="ru-RU"/>
        </w:rPr>
        <w:t>тепловую карта коэффициентов корреляции (рисунок 8). Коэффициенты корелляции предварительно показывают, что явная зависимость между переменными датасета отсутствует.</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568065"/>
            <wp:effectExtent l="0" t="0" r="0" b="0"/>
            <wp:wrapSquare wrapText="largest"/>
            <wp:docPr id="11"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9" descr=""/>
                    <pic:cNvPicPr>
                      <a:picLocks noChangeAspect="1" noChangeArrowheads="1"/>
                    </pic:cNvPicPr>
                  </pic:nvPicPr>
                  <pic:blipFill>
                    <a:blip r:embed="rId12"/>
                    <a:srcRect l="0" t="0" r="0" b="1054"/>
                    <a:stretch>
                      <a:fillRect/>
                    </a:stretch>
                  </pic:blipFill>
                  <pic:spPr bwMode="auto">
                    <a:xfrm>
                      <a:off x="0" y="0"/>
                      <a:ext cx="6120130" cy="3568065"/>
                    </a:xfrm>
                    <a:prstGeom prst="rect">
                      <a:avLst/>
                    </a:prstGeom>
                  </pic:spPr>
                </pic:pic>
              </a:graphicData>
            </a:graphic>
          </wp:anchor>
        </w:drawing>
      </w:r>
      <w:r>
        <w:rPr>
          <w:rFonts w:ascii="Times New Roman" w:hAnsi="Times New Roman"/>
          <w:sz w:val="28"/>
          <w:szCs w:val="28"/>
        </w:rPr>
        <w:t xml:space="preserve">Рисунок 8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Тепловая карта </w:t>
      </w:r>
      <w:r>
        <w:rPr>
          <w:rFonts w:eastAsia="NSimSun" w:cs="Arial" w:ascii="Times New Roman" w:hAnsi="Times New Roman"/>
          <w:iCs/>
          <w:sz w:val="28"/>
          <w:szCs w:val="28"/>
          <w:lang w:val="ru-RU"/>
        </w:rPr>
        <w:t>коэффициентов корреляции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Также можно построить попарные графики рассеивания (рисунок 9), на которых также не просматривается какой-либо зависимости между переменными.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20130" cy="6156960"/>
            <wp:effectExtent l="0" t="0" r="0" b="0"/>
            <wp:wrapSquare wrapText="largest"/>
            <wp:docPr id="12"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0" descr=""/>
                    <pic:cNvPicPr>
                      <a:picLocks noChangeAspect="1" noChangeArrowheads="1"/>
                    </pic:cNvPicPr>
                  </pic:nvPicPr>
                  <pic:blipFill>
                    <a:blip r:embed="rId13"/>
                    <a:stretch>
                      <a:fillRect/>
                    </a:stretch>
                  </pic:blipFill>
                  <pic:spPr bwMode="auto">
                    <a:xfrm>
                      <a:off x="0" y="0"/>
                      <a:ext cx="6120130" cy="6156960"/>
                    </a:xfrm>
                    <a:prstGeom prst="rect">
                      <a:avLst/>
                    </a:prstGeom>
                  </pic:spPr>
                </pic:pic>
              </a:graphicData>
            </a:graphic>
          </wp:anchor>
        </w:drawing>
      </w:r>
      <w:r>
        <w:rPr>
          <w:rFonts w:ascii="Times New Roman" w:hAnsi="Times New Roman"/>
          <w:sz w:val="28"/>
          <w:szCs w:val="28"/>
        </w:rPr>
        <w:t xml:space="preserve">Рисунок 9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w:t>
      </w:r>
      <w:r>
        <w:rPr>
          <w:rFonts w:eastAsia="NSimSun" w:cs="Arial" w:ascii="Times New Roman" w:hAnsi="Times New Roman"/>
          <w:iCs/>
          <w:sz w:val="28"/>
          <w:szCs w:val="28"/>
          <w:lang w:val="ru-RU"/>
        </w:rPr>
        <w:t>Попарные графики рассеивания</w:t>
      </w:r>
      <w:r>
        <w:br w:type="page"/>
      </w:r>
    </w:p>
    <w:p>
      <w:pPr>
        <w:pStyle w:val="1"/>
        <w:rPr>
          <w:rFonts w:ascii="Times New Roman" w:hAnsi="Times New Roman"/>
          <w:sz w:val="28"/>
          <w:szCs w:val="28"/>
        </w:rPr>
      </w:pPr>
      <w:bookmarkStart w:id="7" w:name="__RefHeading___Toc6576_1566460903"/>
      <w:bookmarkEnd w:id="7"/>
      <w:r>
        <w:rPr/>
        <w:t>2 Практическая часть</w:t>
      </w:r>
    </w:p>
    <w:p>
      <w:pPr>
        <w:pStyle w:val="2"/>
        <w:ind w:left="0" w:right="0" w:firstLine="709"/>
        <w:rPr>
          <w:rFonts w:ascii="Times New Roman" w:hAnsi="Times New Roman"/>
          <w:sz w:val="28"/>
          <w:szCs w:val="28"/>
        </w:rPr>
      </w:pPr>
      <w:bookmarkStart w:id="8" w:name="__RefHeading___Toc6578_1566460903"/>
      <w:bookmarkEnd w:id="8"/>
      <w:r>
        <w:rPr/>
        <w:t>2.1 Предобработка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После предварительного анализа датасета нужно привести данные к виду, при котором модели машинного обучения могут наиболее эффективно обучаться.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начала необходимо удалить выбросы. Для удаления выбросов существует 2 основных метода - метод 3-х сигм и межквартильных расстояний. Так как у нас датасет небольшой по объему, удалим только экстремальные выбросы методом  3-х сигм.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6">
            <wp:simplePos x="0" y="0"/>
            <wp:positionH relativeFrom="column">
              <wp:align>center</wp:align>
            </wp:positionH>
            <wp:positionV relativeFrom="paragraph">
              <wp:posOffset>208280</wp:posOffset>
            </wp:positionV>
            <wp:extent cx="6068060" cy="1905635"/>
            <wp:effectExtent l="0" t="0" r="0" b="0"/>
            <wp:wrapTopAndBottom/>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4"/>
                    <a:srcRect l="0" t="0" r="848" b="26"/>
                    <a:stretch>
                      <a:fillRect/>
                    </a:stretch>
                  </pic:blipFill>
                  <pic:spPr bwMode="auto">
                    <a:xfrm>
                      <a:off x="0" y="0"/>
                      <a:ext cx="6068060" cy="1905635"/>
                    </a:xfrm>
                    <a:prstGeom prst="rect">
                      <a:avLst/>
                    </a:prstGeom>
                  </pic:spPr>
                </pic:pic>
              </a:graphicData>
            </a:graphic>
          </wp:anchor>
        </w:drawing>
      </w:r>
    </w:p>
    <w:p>
      <w:pPr>
        <w:pStyle w:val="Normal"/>
        <w:bidi w:val="0"/>
        <w:spacing w:lineRule="auto" w:line="360"/>
        <w:ind w:left="0" w:right="0" w:firstLine="709"/>
        <w:jc w:val="center"/>
        <w:rPr>
          <w:rFonts w:ascii="Times New Roman" w:hAnsi="Times New Roman"/>
          <w:sz w:val="28"/>
          <w:szCs w:val="28"/>
          <w:lang w:val="ru-RU"/>
        </w:rPr>
      </w:pPr>
      <w:r>
        <w:rPr>
          <w:rFonts w:ascii="Times New Roman" w:hAnsi="Times New Roman"/>
          <w:sz w:val="28"/>
          <w:szCs w:val="28"/>
          <w:lang w:val="ru-RU"/>
        </w:rPr>
        <w:t xml:space="preserve">Рисунок 10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Количество выбросов до и после удаления методом 3-х сигм</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Дальнейшая подготовка сводится к нормализации и стандартизации данных. Наиболее распространенные методы для нормализации данных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MinMaxScaler(), Normalizer(), для стандартизации данных </w:t>
      </w:r>
      <w:r>
        <w:rPr>
          <w:rFonts w:eastAsia="Times New Roman" w:cs="Times New Roman" w:ascii="Times New Roman" w:hAnsi="Times New Roman"/>
          <w:sz w:val="28"/>
          <w:szCs w:val="28"/>
        </w:rPr>
        <w:t xml:space="preserve">− StandardScaler(). </w:t>
        <w:tab/>
      </w:r>
      <w:r>
        <w:rPr>
          <w:rFonts w:ascii="Times New Roman" w:hAnsi="Times New Roman"/>
          <w:sz w:val="28"/>
          <w:szCs w:val="28"/>
        </w:rPr>
        <w:t>Рассмотрим особенности применения каждого из методов.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MinMaxScaler() выполняется к заданному диапазону, по умолчанию от 0 до 1. Применим метод MinMaxScaler() к нашему датасету, указав диапазон от 0,1 до 0,9. На рисунках 11 и 12 отображены результаты преобразования.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853430" cy="4895850"/>
            <wp:effectExtent l="0" t="0" r="0" b="0"/>
            <wp:wrapTopAndBottom/>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5"/>
                    <a:srcRect l="0" t="0" r="710" b="974"/>
                    <a:stretch>
                      <a:fillRect/>
                    </a:stretch>
                  </pic:blipFill>
                  <pic:spPr bwMode="auto">
                    <a:xfrm>
                      <a:off x="0" y="0"/>
                      <a:ext cx="5853430" cy="4895850"/>
                    </a:xfrm>
                    <a:prstGeom prst="rect">
                      <a:avLst/>
                    </a:prstGeom>
                  </pic:spPr>
                </pic:pic>
              </a:graphicData>
            </a:graphic>
          </wp:anchor>
        </w:drawing>
      </w:r>
      <w:r>
        <w:rPr>
          <w:rFonts w:ascii="Times New Roman" w:hAnsi="Times New Roman"/>
          <w:sz w:val="28"/>
          <w:szCs w:val="28"/>
        </w:rPr>
        <w:t xml:space="preserve">Рисунок 11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MinMaxScaler()</w:t>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068060" cy="2968625"/>
            <wp:effectExtent l="0" t="0" r="0" b="0"/>
            <wp:wrapTopAndBottom/>
            <wp:docPr id="15"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3" descr=""/>
                    <pic:cNvPicPr>
                      <a:picLocks noChangeAspect="1" noChangeArrowheads="1"/>
                    </pic:cNvPicPr>
                  </pic:nvPicPr>
                  <pic:blipFill>
                    <a:blip r:embed="rId16"/>
                    <a:srcRect l="0" t="0" r="856" b="2981"/>
                    <a:stretch>
                      <a:fillRect/>
                    </a:stretch>
                  </pic:blipFill>
                  <pic:spPr bwMode="auto">
                    <a:xfrm>
                      <a:off x="0" y="0"/>
                      <a:ext cx="6068060" cy="2968625"/>
                    </a:xfrm>
                    <a:prstGeom prst="rect">
                      <a:avLst/>
                    </a:prstGeom>
                  </pic:spPr>
                </pic:pic>
              </a:graphicData>
            </a:graphic>
          </wp:anchor>
        </w:drawing>
      </w:r>
      <w:r>
        <w:rPr>
          <w:rFonts w:eastAsia="NSimSun" w:cs="Arial" w:ascii="Times New Roman" w:hAnsi="Times New Roman"/>
          <w:sz w:val="28"/>
          <w:szCs w:val="28"/>
        </w:rPr>
        <w:t xml:space="preserve">Рисунок 12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MinMaxScaler()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 xml:space="preserve">Normalizer()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процесс масштабирования отдельных образцов до единичной нормы . Этот процесс может быть полезен, если планируется использовать квадратичную форму, такую как скалярное произведение или любое другое ядро, для количественной оценки подобия любой пары образцов. Это предположение является основой модели векторного пространства, часто используемой в контекстах классификации и кластеризации текста. Применим метод Normalizer() к нашему датасету.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13 и 14 отображены результаты преобразования.</w:t>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5302885"/>
            <wp:effectExtent l="0" t="0" r="0" b="0"/>
            <wp:wrapTopAndBottom/>
            <wp:docPr id="1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4" descr=""/>
                    <pic:cNvPicPr>
                      <a:picLocks noChangeAspect="1" noChangeArrowheads="1"/>
                    </pic:cNvPicPr>
                  </pic:nvPicPr>
                  <pic:blipFill>
                    <a:blip r:embed="rId17"/>
                    <a:srcRect l="0" t="0" r="0" b="994"/>
                    <a:stretch>
                      <a:fillRect/>
                    </a:stretch>
                  </pic:blipFill>
                  <pic:spPr bwMode="auto">
                    <a:xfrm>
                      <a:off x="0" y="0"/>
                      <a:ext cx="6120130" cy="5302885"/>
                    </a:xfrm>
                    <a:prstGeom prst="rect">
                      <a:avLst/>
                    </a:prstGeom>
                  </pic:spPr>
                </pic:pic>
              </a:graphicData>
            </a:graphic>
          </wp:anchor>
        </w:drawing>
      </w:r>
      <w:r>
        <w:rPr>
          <w:rFonts w:ascii="Times New Roman" w:hAnsi="Times New Roman"/>
          <w:sz w:val="28"/>
          <w:szCs w:val="28"/>
        </w:rPr>
        <w:t xml:space="preserve">Рисунок 13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20130" cy="3018155"/>
            <wp:effectExtent l="0" t="0" r="0" b="0"/>
            <wp:wrapTopAndBottom/>
            <wp:docPr id="1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5" descr=""/>
                    <pic:cNvPicPr>
                      <a:picLocks noChangeAspect="1" noChangeArrowheads="1"/>
                    </pic:cNvPicPr>
                  </pic:nvPicPr>
                  <pic:blipFill>
                    <a:blip r:embed="rId18"/>
                    <a:srcRect l="0" t="0" r="0" b="1489"/>
                    <a:stretch>
                      <a:fillRect/>
                    </a:stretch>
                  </pic:blipFill>
                  <pic:spPr bwMode="auto">
                    <a:xfrm>
                      <a:off x="0" y="0"/>
                      <a:ext cx="6120130" cy="3018155"/>
                    </a:xfrm>
                    <a:prstGeom prst="rect">
                      <a:avLst/>
                    </a:prstGeom>
                  </pic:spPr>
                </pic:pic>
              </a:graphicData>
            </a:graphic>
          </wp:anchor>
        </w:drawing>
      </w:r>
      <w:r>
        <w:rPr>
          <w:rFonts w:eastAsia="NSimSun" w:cs="Arial" w:ascii="Times New Roman" w:hAnsi="Times New Roman"/>
          <w:sz w:val="28"/>
          <w:szCs w:val="28"/>
        </w:rPr>
        <w:t xml:space="preserve">Рисунок 14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Стандартизация наборов данных является общим требованием для многих оценщиков машинного обучения, реализованных в scikit-learn; они могут вести себя плохо, если отдельные функции не более или менее выглядят как стандартные нормально распределенные данные: гауссовские с нулевым средним и единичной дисперсией. На практике часто игнорируется форма распределения и просто преобразуем данные для их центрирования, удаляя среднее значение каждой функции, а затем масштабируется, деля непостоянные характеристики на их стандартное отклонение.</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Применим метод StandardScaler() к нашему датасету.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15 и 16 отображены результаты преобразования.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Масштабированные данные имеют нулевое среднее значение и единичную дисперсию</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widowControl/>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879465" cy="5222240"/>
            <wp:effectExtent l="0" t="0" r="0" b="0"/>
            <wp:wrapTopAndBottom/>
            <wp:docPr id="1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26" descr=""/>
                    <pic:cNvPicPr>
                      <a:picLocks noChangeAspect="1" noChangeArrowheads="1"/>
                    </pic:cNvPicPr>
                  </pic:nvPicPr>
                  <pic:blipFill>
                    <a:blip r:embed="rId19"/>
                    <a:srcRect l="0" t="0" r="624" b="1038"/>
                    <a:stretch>
                      <a:fillRect/>
                    </a:stretch>
                  </pic:blipFill>
                  <pic:spPr bwMode="auto">
                    <a:xfrm>
                      <a:off x="0" y="0"/>
                      <a:ext cx="5879465" cy="5222240"/>
                    </a:xfrm>
                    <a:prstGeom prst="rect">
                      <a:avLst/>
                    </a:prstGeom>
                  </pic:spPr>
                </pic:pic>
              </a:graphicData>
            </a:graphic>
          </wp:anchor>
        </w:drawing>
      </w:r>
      <w:r>
        <w:rPr>
          <w:rFonts w:ascii="Times New Roman" w:hAnsi="Times New Roman"/>
          <w:sz w:val="28"/>
          <w:szCs w:val="28"/>
        </w:rPr>
        <w:t xml:space="preserve">Рисунок 15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StandardScaler()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tabs>
          <w:tab w:val="clear" w:pos="643"/>
          <w:tab w:val="left" w:pos="5086" w:leader="none"/>
        </w:tabs>
        <w:suppressAutoHyphens w:val="true"/>
        <w:overflowPunct w:val="tru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739130" cy="2839720"/>
            <wp:effectExtent l="0" t="0" r="0" b="0"/>
            <wp:wrapSquare wrapText="largest"/>
            <wp:docPr id="1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7" descr=""/>
                    <pic:cNvPicPr>
                      <a:picLocks noChangeAspect="1" noChangeArrowheads="1"/>
                    </pic:cNvPicPr>
                  </pic:nvPicPr>
                  <pic:blipFill>
                    <a:blip r:embed="rId20"/>
                    <a:stretch>
                      <a:fillRect/>
                    </a:stretch>
                  </pic:blipFill>
                  <pic:spPr bwMode="auto">
                    <a:xfrm>
                      <a:off x="0" y="0"/>
                      <a:ext cx="5739130" cy="2839720"/>
                    </a:xfrm>
                    <a:prstGeom prst="rect">
                      <a:avLst/>
                    </a:prstGeom>
                  </pic:spPr>
                </pic:pic>
              </a:graphicData>
            </a:graphic>
          </wp:anchor>
        </w:drawing>
      </w:r>
      <w:r>
        <w:rPr>
          <w:rFonts w:eastAsia="NSimSun" w:cs="Arial" w:ascii="Times New Roman" w:hAnsi="Times New Roman"/>
          <w:sz w:val="28"/>
          <w:szCs w:val="28"/>
        </w:rPr>
        <w:t xml:space="preserve">Рисунок 16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StandardScaler()</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Для дальнейшей работы разделим наш датасет на два — целевая переменная и признаки и применим к данным датасетам метод StandardScaler()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Для случая прогнозирования прочности при растяжении п</w:t>
      </w:r>
      <w:r>
        <w:rPr>
          <w:rFonts w:ascii="Times New Roman" w:hAnsi="Times New Roman"/>
          <w:sz w:val="28"/>
          <w:szCs w:val="28"/>
        </w:rPr>
        <w:t xml:space="preserve">осле применения  </w:t>
      </w:r>
      <w:r>
        <w:rPr>
          <w:rFonts w:eastAsia="NSimSun" w:cs="Arial" w:ascii="Times New Roman" w:hAnsi="Times New Roman"/>
          <w:sz w:val="28"/>
          <w:szCs w:val="28"/>
        </w:rPr>
        <w:t>StandardScaler() описательная статистика и визуализация переменных датасета выглядит следующим образом (рисунок 17 и 18).</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723255" cy="6336030"/>
            <wp:effectExtent l="0" t="0" r="0" b="0"/>
            <wp:wrapTopAndBottom/>
            <wp:docPr id="2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8" descr=""/>
                    <pic:cNvPicPr>
                      <a:picLocks noChangeAspect="1" noChangeArrowheads="1"/>
                    </pic:cNvPicPr>
                  </pic:nvPicPr>
                  <pic:blipFill>
                    <a:blip r:embed="rId21"/>
                    <a:srcRect l="0" t="0" r="629" b="1001"/>
                    <a:stretch>
                      <a:fillRect/>
                    </a:stretch>
                  </pic:blipFill>
                  <pic:spPr bwMode="auto">
                    <a:xfrm>
                      <a:off x="0" y="0"/>
                      <a:ext cx="5723255" cy="6336030"/>
                    </a:xfrm>
                    <a:prstGeom prst="rect">
                      <a:avLst/>
                    </a:prstGeom>
                  </pic:spPr>
                </pic:pic>
              </a:graphicData>
            </a:graphic>
          </wp:anchor>
        </w:drawing>
      </w:r>
      <w:r>
        <w:rPr>
          <w:rFonts w:ascii="Times New Roman" w:hAnsi="Times New Roman"/>
          <w:sz w:val="28"/>
          <w:szCs w:val="28"/>
          <w:lang w:val="en-US"/>
        </w:rPr>
        <w:t>Рисунок 1</w:t>
      </w:r>
      <w:r>
        <w:rPr>
          <w:rFonts w:ascii="Times New Roman" w:hAnsi="Times New Roman"/>
          <w:sz w:val="28"/>
          <w:szCs w:val="28"/>
          <w:lang w:val="ru-RU"/>
        </w:rPr>
        <w:t xml:space="preserve">7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012180" cy="7268210"/>
            <wp:effectExtent l="0" t="0" r="0" b="0"/>
            <wp:wrapTopAndBottom/>
            <wp:docPr id="2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9" descr=""/>
                    <pic:cNvPicPr>
                      <a:picLocks noChangeAspect="1" noChangeArrowheads="1"/>
                    </pic:cNvPicPr>
                  </pic:nvPicPr>
                  <pic:blipFill>
                    <a:blip r:embed="rId22"/>
                    <a:stretch>
                      <a:fillRect/>
                    </a:stretch>
                  </pic:blipFill>
                  <pic:spPr bwMode="auto">
                    <a:xfrm>
                      <a:off x="0" y="0"/>
                      <a:ext cx="6012180" cy="7268210"/>
                    </a:xfrm>
                    <a:prstGeom prst="rect">
                      <a:avLst/>
                    </a:prstGeom>
                  </pic:spPr>
                </pic:pic>
              </a:graphicData>
            </a:graphic>
          </wp:anchor>
        </w:drawing>
      </w:r>
      <w:r>
        <w:rPr>
          <w:rFonts w:eastAsia="NSimSun" w:cs="Arial" w:ascii="Times New Roman" w:hAnsi="Times New Roman"/>
          <w:sz w:val="28"/>
          <w:szCs w:val="28"/>
          <w:lang w:val="en-US"/>
        </w:rPr>
        <w:t>Рисунок 18</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прогнозирования модуля упругости при растяжении п</w:t>
      </w:r>
      <w:r>
        <w:rPr>
          <w:rFonts w:eastAsia="NSimSun" w:cs="Arial" w:ascii="Times New Roman" w:hAnsi="Times New Roman"/>
          <w:sz w:val="28"/>
          <w:szCs w:val="28"/>
        </w:rPr>
        <w:t>осле применения  StandardScaler() описательная статистика и визуализация переменных датасета выглядит следующим образом (рисунок 19 и 20).</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641340" cy="6800215"/>
            <wp:effectExtent l="0" t="0" r="0" b="0"/>
            <wp:wrapTopAndBottom/>
            <wp:docPr id="2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0" descr=""/>
                    <pic:cNvPicPr>
                      <a:picLocks noChangeAspect="1" noChangeArrowheads="1"/>
                    </pic:cNvPicPr>
                  </pic:nvPicPr>
                  <pic:blipFill>
                    <a:blip r:embed="rId23"/>
                    <a:srcRect l="0" t="0" r="795" b="0"/>
                    <a:stretch>
                      <a:fillRect/>
                    </a:stretch>
                  </pic:blipFill>
                  <pic:spPr bwMode="auto">
                    <a:xfrm>
                      <a:off x="0" y="0"/>
                      <a:ext cx="5641340" cy="6800215"/>
                    </a:xfrm>
                    <a:prstGeom prst="rect">
                      <a:avLst/>
                    </a:prstGeom>
                  </pic:spPr>
                </pic:pic>
              </a:graphicData>
            </a:graphic>
          </wp:anchor>
        </w:drawing>
      </w:r>
      <w:r>
        <w:rPr>
          <w:rFonts w:eastAsia="NSimSun" w:cs="Arial" w:ascii="Times New Roman" w:hAnsi="Times New Roman"/>
          <w:sz w:val="28"/>
          <w:szCs w:val="28"/>
          <w:lang w:val="en-US"/>
        </w:rPr>
        <w:t>Рисунок 19</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069965" cy="7338695"/>
            <wp:effectExtent l="0" t="0" r="0" b="0"/>
            <wp:wrapSquare wrapText="largest"/>
            <wp:docPr id="2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1" descr=""/>
                    <pic:cNvPicPr>
                      <a:picLocks noChangeAspect="1" noChangeArrowheads="1"/>
                    </pic:cNvPicPr>
                  </pic:nvPicPr>
                  <pic:blipFill>
                    <a:blip r:embed="rId24"/>
                    <a:stretch>
                      <a:fillRect/>
                    </a:stretch>
                  </pic:blipFill>
                  <pic:spPr bwMode="auto">
                    <a:xfrm>
                      <a:off x="0" y="0"/>
                      <a:ext cx="6069965" cy="7338695"/>
                    </a:xfrm>
                    <a:prstGeom prst="rect">
                      <a:avLst/>
                    </a:prstGeom>
                  </pic:spPr>
                </pic:pic>
              </a:graphicData>
            </a:graphic>
          </wp:anchor>
        </w:drawing>
      </w:r>
      <w:r>
        <w:rPr>
          <w:rFonts w:eastAsia="NSimSun" w:cs="Arial" w:ascii="Times New Roman" w:hAnsi="Times New Roman"/>
          <w:sz w:val="28"/>
          <w:szCs w:val="28"/>
          <w:lang w:val="en-US"/>
        </w:rPr>
        <w:t>Рисунок 20</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предсказания нейросетью соотношения матрица-наполнитель применим MinMaxScaler(),</w:t>
      </w:r>
      <w:r>
        <w:rPr>
          <w:rFonts w:eastAsia="NSimSun" w:cs="Arial" w:ascii="Times New Roman" w:hAnsi="Times New Roman"/>
          <w:sz w:val="28"/>
          <w:szCs w:val="28"/>
        </w:rPr>
        <w:t xml:space="preserve"> описательная статистика и визуализация переменных датасета выглядит следующим образом (рисунок 21 и 22).</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330190" cy="7287260"/>
            <wp:effectExtent l="0" t="0" r="0" b="0"/>
            <wp:wrapTopAndBottom/>
            <wp:docPr id="2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2" descr=""/>
                    <pic:cNvPicPr>
                      <a:picLocks noChangeAspect="1" noChangeArrowheads="1"/>
                    </pic:cNvPicPr>
                  </pic:nvPicPr>
                  <pic:blipFill>
                    <a:blip r:embed="rId25"/>
                    <a:srcRect l="0" t="0" r="786" b="684"/>
                    <a:stretch>
                      <a:fillRect/>
                    </a:stretch>
                  </pic:blipFill>
                  <pic:spPr bwMode="auto">
                    <a:xfrm>
                      <a:off x="0" y="0"/>
                      <a:ext cx="5330190" cy="7287260"/>
                    </a:xfrm>
                    <a:prstGeom prst="rect">
                      <a:avLst/>
                    </a:prstGeom>
                  </pic:spPr>
                </pic:pic>
              </a:graphicData>
            </a:graphic>
          </wp:anchor>
        </w:drawing>
      </w:r>
      <w:r>
        <w:rPr>
          <w:rFonts w:eastAsia="NSimSun" w:cs="Arial" w:ascii="Times New Roman" w:hAnsi="Times New Roman"/>
          <w:sz w:val="28"/>
          <w:szCs w:val="28"/>
          <w:lang w:val="en-US"/>
        </w:rPr>
        <w:t>Рисунок 21</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901055" cy="7168515"/>
            <wp:effectExtent l="0" t="0" r="0" b="0"/>
            <wp:wrapTopAndBottom/>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26"/>
                    <a:stretch>
                      <a:fillRect/>
                    </a:stretch>
                  </pic:blipFill>
                  <pic:spPr bwMode="auto">
                    <a:xfrm>
                      <a:off x="0" y="0"/>
                      <a:ext cx="5901055" cy="7168515"/>
                    </a:xfrm>
                    <a:prstGeom prst="rect">
                      <a:avLst/>
                    </a:prstGeom>
                  </pic:spPr>
                </pic:pic>
              </a:graphicData>
            </a:graphic>
          </wp:anchor>
        </w:drawing>
      </w:r>
      <w:r>
        <w:rPr>
          <w:rFonts w:eastAsia="NSimSun" w:cs="Arial" w:ascii="Times New Roman" w:hAnsi="Times New Roman"/>
          <w:sz w:val="28"/>
          <w:szCs w:val="28"/>
          <w:lang w:val="en-US"/>
        </w:rPr>
        <w:t>Рисунок 22</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 xml:space="preserve">Для дальнейшего использования </w:t>
      </w:r>
      <w:r>
        <w:rPr>
          <w:rFonts w:eastAsia="NSimSun" w:cs="Arial" w:ascii="Times New Roman" w:hAnsi="Times New Roman"/>
          <w:sz w:val="28"/>
          <w:szCs w:val="28"/>
          <w:lang w:val="ru-RU"/>
        </w:rPr>
        <w:t xml:space="preserve">нормализаторы были сохранены в отдельные файлы при помощи библиотеки </w:t>
      </w:r>
      <w:r>
        <w:rPr>
          <w:rFonts w:eastAsia="NSimSun" w:cs="Arial" w:ascii="Times New Roman" w:hAnsi="Times New Roman"/>
          <w:sz w:val="28"/>
          <w:szCs w:val="28"/>
          <w:lang w:val="en-US"/>
        </w:rPr>
        <w:t>J</w:t>
      </w:r>
      <w:r>
        <w:rPr>
          <w:rFonts w:eastAsia="NSimSun" w:cs="Arial" w:ascii="Times New Roman" w:hAnsi="Times New Roman"/>
          <w:sz w:val="28"/>
          <w:szCs w:val="28"/>
          <w:lang w:val="ru-RU"/>
        </w:rPr>
        <w:t>oblib.</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Перед обучением моделей</w:t>
      </w:r>
      <w:r>
        <w:rPr>
          <w:rFonts w:eastAsia="NSimSun" w:cs="Arial" w:ascii="Times New Roman" w:hAnsi="Times New Roman"/>
          <w:sz w:val="28"/>
          <w:szCs w:val="28"/>
        </w:rPr>
        <w:t xml:space="preserve"> датасеты были разделены на обучающую и тестовую выборки, в соответствии с условием задачи 70% на обучение и 30% на тестирование.</w:t>
      </w:r>
      <w:r>
        <w:br w:type="page"/>
      </w:r>
    </w:p>
    <w:p>
      <w:pPr>
        <w:pStyle w:val="2"/>
        <w:ind w:left="0" w:right="0" w:firstLine="709"/>
        <w:rPr>
          <w:rFonts w:ascii="Times New Roman" w:hAnsi="Times New Roman"/>
          <w:sz w:val="28"/>
          <w:szCs w:val="28"/>
        </w:rPr>
      </w:pPr>
      <w:bookmarkStart w:id="9" w:name="__RefHeading___Toc6580_1566460903"/>
      <w:bookmarkEnd w:id="9"/>
      <w:r>
        <w:rPr/>
        <w:t>2.2 Разработка и обучение модели</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 xml:space="preserve">При </w:t>
      </w:r>
      <w:r>
        <w:rPr>
          <w:rFonts w:eastAsia="Arial" w:cs="Arial"/>
          <w:sz w:val="28"/>
          <w:szCs w:val="22"/>
        </w:rPr>
        <w:t>разработке и обучении</w:t>
      </w:r>
      <w:r>
        <w:rPr>
          <w:rFonts w:eastAsia="Arial" w:cs="Arial"/>
          <w:sz w:val="28"/>
          <w:szCs w:val="22"/>
        </w:rPr>
        <w:t xml:space="preserve"> моделей </w:t>
      </w:r>
      <w:r>
        <w:rPr>
          <w:rFonts w:eastAsia="Arial" w:cs="Arial"/>
          <w:sz w:val="28"/>
          <w:szCs w:val="22"/>
        </w:rPr>
        <w:t>был проведен</w:t>
      </w:r>
      <w:r>
        <w:rPr>
          <w:rFonts w:eastAsia="Arial" w:cs="Arial"/>
          <w:sz w:val="28"/>
          <w:szCs w:val="22"/>
        </w:rPr>
        <w:t xml:space="preserve"> поиск гиперпараметров модел</w:t>
      </w:r>
      <w:r>
        <w:rPr>
          <w:rFonts w:eastAsia="Arial" w:cs="Arial"/>
          <w:sz w:val="28"/>
          <w:szCs w:val="22"/>
        </w:rPr>
        <w:t>ей</w:t>
      </w:r>
      <w:r>
        <w:rPr>
          <w:rFonts w:eastAsia="Arial" w:cs="Arial"/>
          <w:sz w:val="28"/>
          <w:szCs w:val="22"/>
        </w:rPr>
        <w:t xml:space="preserve"> с помощью поиска по сетке с перекрестной проверкой, количество блоков равно 10, </w:t>
      </w:r>
      <w:r>
        <w:rPr>
          <w:rFonts w:eastAsia="Arial" w:cs="Arial"/>
          <w:sz w:val="28"/>
          <w:szCs w:val="22"/>
        </w:rPr>
        <w:t xml:space="preserve">для чего был применен метод GridSearchCV с параметрами:  </w:t>
      </w:r>
      <w:r>
        <w:rPr>
          <w:rFonts w:eastAsia="Arial" w:cs="Arial"/>
          <w:sz w:val="28"/>
          <w:szCs w:val="22"/>
        </w:rPr>
        <w:t xml:space="preserve">количество перекрестных параметров </w:t>
      </w:r>
      <w:r>
        <w:rPr>
          <w:rFonts w:eastAsia="Arial" w:cs="Arial"/>
          <w:sz w:val="28"/>
          <w:szCs w:val="22"/>
        </w:rPr>
        <w:t xml:space="preserve">cv = 10,  </w:t>
      </w:r>
      <w:r>
        <w:rPr>
          <w:rFonts w:eastAsia="Arial" w:cs="Arial"/>
          <w:sz w:val="28"/>
          <w:szCs w:val="22"/>
        </w:rPr>
        <w:t xml:space="preserve">сравнение качества моделей по коэффициенту детерминации </w:t>
      </w:r>
      <w:r>
        <w:rPr>
          <w:rFonts w:eastAsia="Arial" w:cs="Arial"/>
          <w:sz w:val="28"/>
          <w:szCs w:val="22"/>
        </w:rPr>
        <w:t>scoring = 'r2'.</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Также д</w:t>
      </w:r>
      <w:r>
        <w:rPr>
          <w:rFonts w:eastAsia="Arial" w:cs="Arial"/>
          <w:sz w:val="28"/>
          <w:szCs w:val="22"/>
        </w:rPr>
        <w:t>ля оценки качества результатов обучения использованы такие показатели, как средняя абсолютная ошибка (MAE), средняя квадратичная ошибка (MSE), коэффициент детерминации(R²)</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MAE - измеряет среднюю абсолютную ошибку прогнозов. Для каждой точки вычисляется разница между прогнозами и целью, а затем усредняются эти значения. Чем дальше это значение от нуля, тем хуже модель. Показатель принимает так же нулевое значение, что может интерпретироваться как обучение идеальной модели, но и как, то, что сумма положительных и отрицательных значений прогнозов в итоге дала ноль.</w:t>
      </w:r>
    </w:p>
    <w:p>
      <w:pPr>
        <w:pStyle w:val="NormalWeb"/>
        <w:spacing w:lineRule="auto" w:line="360" w:beforeAutospacing="0" w:before="0" w:afterAutospacing="0" w:after="0"/>
        <w:ind w:firstLine="709"/>
        <w:contextualSpacing/>
        <w:jc w:val="both"/>
        <w:rPr>
          <w:rFonts w:eastAsia="Arial" w:cs="Arial"/>
          <w:sz w:val="28"/>
          <w:szCs w:val="22"/>
        </w:rPr>
      </w:pPr>
      <w:r>
        <w:rPr>
          <w:rFonts w:eastAsia="Arial" w:cs="Arial"/>
          <w:sz w:val="28"/>
          <w:szCs w:val="22"/>
        </w:rPr>
        <w:t>MSE - измеряет среднюю квадратичную ошибку прогнозов. Для каждой точки вычисляется квадратная разница между прогнозами и целью, а затем усредняются эти значения. 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R² - Коэффициент детерминации, или R-квадрат, является еще одним показателем, который мы можем использовать для оценки модели, и он тесно связан с MSE, но имеет преимущество в том, что не имеет значения, являются ли выходные значения очень большими или очень маленькими, R² всегда будет между -∞ и 1. Когда R² отрицательно, это означает, что модель хуже, чем предсказание среднего значения.</w:t>
      </w:r>
    </w:p>
    <w:p>
      <w:pPr>
        <w:pStyle w:val="NormalWeb"/>
        <w:bidi w:val="0"/>
        <w:spacing w:lineRule="auto" w:line="360" w:beforeAutospacing="0" w:before="0" w:after="280"/>
        <w:ind w:firstLine="709"/>
        <w:contextualSpacing/>
        <w:jc w:val="both"/>
        <w:rPr>
          <w:rFonts w:eastAsia="Arial" w:cs="Arial"/>
          <w:sz w:val="28"/>
          <w:szCs w:val="22"/>
        </w:rPr>
      </w:pPr>
      <w:r>
        <w:rPr/>
      </w:r>
    </w:p>
    <w:p>
      <w:pPr>
        <w:pStyle w:val="NormalWeb"/>
        <w:bidi w:val="0"/>
        <w:spacing w:lineRule="auto" w:line="360" w:beforeAutospacing="0" w:before="0" w:after="280"/>
        <w:ind w:firstLine="709"/>
        <w:contextualSpacing/>
        <w:jc w:val="both"/>
        <w:rPr>
          <w:rFonts w:eastAsia="Arial" w:cs="Arial"/>
          <w:sz w:val="28"/>
          <w:szCs w:val="22"/>
        </w:rPr>
      </w:pPr>
      <w:r>
        <w:rPr/>
      </w:r>
    </w:p>
    <w:p>
      <w:pPr>
        <w:pStyle w:val="3"/>
        <w:ind w:left="0" w:right="0" w:firstLine="709"/>
        <w:rPr>
          <w:rFonts w:eastAsia="Arial" w:cs="Arial"/>
          <w:sz w:val="28"/>
          <w:szCs w:val="22"/>
        </w:rPr>
      </w:pPr>
      <w:bookmarkStart w:id="10" w:name="__RefHeading___Toc19540_3616107706"/>
      <w:bookmarkEnd w:id="10"/>
      <w:r>
        <w:rPr>
          <w:rFonts w:eastAsia="Arial" w:cs="Arial"/>
          <w:sz w:val="28"/>
          <w:szCs w:val="22"/>
        </w:rPr>
        <w:t xml:space="preserve">2.1.1 </w:t>
      </w:r>
      <w:r>
        <w:rPr>
          <w:rFonts w:eastAsia="Arial" w:cs="Arial"/>
          <w:sz w:val="28"/>
          <w:szCs w:val="22"/>
          <w:lang w:val="en-US"/>
        </w:rPr>
        <w:t>Предсказание прочности при растяжении</w:t>
      </w:r>
    </w:p>
    <w:p>
      <w:pPr>
        <w:pStyle w:val="NormalWeb"/>
        <w:spacing w:lineRule="auto" w:line="360" w:beforeAutospacing="0" w:before="0" w:afterAutospacing="0" w:after="0"/>
        <w:ind w:firstLine="708"/>
        <w:jc w:val="both"/>
        <w:rPr>
          <w:rFonts w:eastAsia="Arial" w:cs="Arial"/>
          <w:sz w:val="28"/>
          <w:szCs w:val="22"/>
        </w:rPr>
      </w:pPr>
      <w:r>
        <w:rPr>
          <w:sz w:val="28"/>
          <w:szCs w:val="28"/>
        </w:rPr>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 xml:space="preserve">По результатам поиска оптимальных гиперпараметров </w:t>
      </w:r>
      <w:r>
        <w:rPr>
          <w:rFonts w:ascii="Times New Roman" w:hAnsi="Times New Roman"/>
          <w:sz w:val="28"/>
          <w:szCs w:val="28"/>
          <w:lang w:val="ru-RU"/>
        </w:rPr>
        <w:t>выявлены основные настройки для получения наилучшего результата при применении метода  LinearRegression(fit_intercept= False, positive= False). С данными настройками модель была обучена на тренировочной выборке</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тренировочной выборке:</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Test score: 0.03</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MAE: 0.78</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MAPE: 1.97</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MSE: 0.97</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RMSE: 0.98</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Test score: -0.03</w:t>
      </w:r>
    </w:p>
    <w:p>
      <w:pPr>
        <w:pStyle w:val="Normal"/>
        <w:bidi w:val="0"/>
        <w:spacing w:lineRule="auto" w:line="360"/>
        <w:ind w:left="0" w:right="0" w:firstLine="709"/>
        <w:jc w:val="left"/>
        <w:rPr>
          <w:rFonts w:ascii="Times New Roman" w:hAnsi="Times New Roman"/>
          <w:sz w:val="28"/>
          <w:szCs w:val="28"/>
          <w:lang w:val="en-US"/>
        </w:rPr>
      </w:pPr>
      <w:r>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3752850" cy="2514600"/>
            <wp:effectExtent l="0" t="0" r="0" b="0"/>
            <wp:wrapTopAndBottom/>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27"/>
                    <a:stretch>
                      <a:fillRect/>
                    </a:stretch>
                  </pic:blipFill>
                  <pic:spPr bwMode="auto">
                    <a:xfrm>
                      <a:off x="0" y="0"/>
                      <a:ext cx="3752850" cy="2514600"/>
                    </a:xfrm>
                    <a:prstGeom prst="rect">
                      <a:avLst/>
                    </a:prstGeom>
                  </pic:spPr>
                </pic:pic>
              </a:graphicData>
            </a:graphic>
          </wp:anchor>
        </w:drawing>
      </w:r>
      <w:r>
        <w:rPr>
          <w:rFonts w:ascii="Times New Roman" w:hAnsi="Times New Roman"/>
          <w:sz w:val="28"/>
          <w:szCs w:val="28"/>
          <w:lang w:val="ru-RU"/>
        </w:rPr>
        <w:t xml:space="preserve">Рисунок </w:t>
      </w:r>
      <w:r>
        <w:rPr>
          <w:rFonts w:eastAsia="Times New Roman" w:cs="Times New Roman" w:ascii="Times New Roman" w:hAnsi="Times New Roman"/>
          <w:sz w:val="28"/>
          <w:szCs w:val="28"/>
          <w:lang w:val="ru-RU"/>
        </w:rPr>
        <w:t>−</w:t>
      </w:r>
    </w:p>
    <w:p>
      <w:pPr>
        <w:pStyle w:val="Normal"/>
        <w:bidi w:val="0"/>
        <w:spacing w:lineRule="auto" w:line="360"/>
        <w:ind w:left="0" w:right="0" w:firstLine="709"/>
        <w:jc w:val="left"/>
        <w:rPr>
          <w:rFonts w:ascii="Times New Roman" w:hAnsi="Times New Roman"/>
          <w:sz w:val="28"/>
          <w:szCs w:val="28"/>
          <w:lang w:val="en-US"/>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случайного леса (Random Forest Regressor)</w:t>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градиентного бустинга (GradientBoostingRegressor)</w:t>
      </w:r>
    </w:p>
    <w:p>
      <w:pPr>
        <w:pStyle w:val="Normal"/>
        <w:bidi w:val="0"/>
        <w:spacing w:lineRule="auto" w:line="360"/>
        <w:ind w:left="0" w:right="0" w:firstLine="709"/>
        <w:jc w:val="left"/>
        <w:rPr>
          <w:rFonts w:ascii="Times New Roman" w:hAnsi="Times New Roman"/>
          <w:sz w:val="28"/>
          <w:szCs w:val="28"/>
        </w:rPr>
      </w:pPr>
      <w:r>
        <w:rPr/>
      </w:r>
    </w:p>
    <w:p>
      <w:pPr>
        <w:pStyle w:val="Normal"/>
        <w:bidi w:val="0"/>
        <w:spacing w:lineRule="auto" w:line="360"/>
        <w:ind w:left="0" w:right="0" w:firstLine="709"/>
        <w:jc w:val="left"/>
        <w:rPr>
          <w:rFonts w:ascii="Times New Roman" w:hAnsi="Times New Roman"/>
          <w:sz w:val="28"/>
          <w:szCs w:val="28"/>
        </w:rPr>
      </w:pPr>
      <w:r>
        <w:rPr/>
      </w:r>
    </w:p>
    <w:p>
      <w:pPr>
        <w:pStyle w:val="Style26"/>
        <w:bidi w:val="0"/>
        <w:spacing w:lineRule="auto" w:line="360"/>
        <w:ind w:left="0" w:right="0" w:firstLine="709"/>
        <w:jc w:val="left"/>
        <w:rPr>
          <w:rFonts w:ascii="Times New Roman" w:hAnsi="Times New Roman"/>
          <w:sz w:val="28"/>
          <w:szCs w:val="28"/>
        </w:rPr>
      </w:pPr>
      <w:r>
        <w:rPr>
          <w:rFonts w:ascii="Times New Roman" w:hAnsi="Times New Roman"/>
          <w:sz w:val="28"/>
          <w:szCs w:val="28"/>
        </w:rPr>
        <w:t>Стекинг (StackingRegressor)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1" w:name="__RefHeading___Toc19542_3616107706"/>
      <w:bookmarkEnd w:id="11"/>
      <w:r>
        <w:rPr>
          <w:rFonts w:eastAsia="Arial" w:cs="Arial" w:ascii="Times New Roman" w:hAnsi="Times New Roman"/>
          <w:sz w:val="28"/>
          <w:szCs w:val="22"/>
        </w:rPr>
        <w:t xml:space="preserve">2.1.1 </w:t>
      </w:r>
      <w:r>
        <w:rPr>
          <w:rFonts w:eastAsia="Arial" w:cs="Arial" w:ascii="Times New Roman" w:hAnsi="Times New Roman"/>
          <w:sz w:val="28"/>
          <w:szCs w:val="22"/>
          <w:lang w:val="en-US"/>
        </w:rPr>
        <w:t xml:space="preserve">Предсказание </w:t>
      </w:r>
      <w:r>
        <w:rPr>
          <w:rFonts w:eastAsia="Arial" w:cs="Arial" w:ascii="Times New Roman" w:hAnsi="Times New Roman"/>
          <w:sz w:val="28"/>
          <w:szCs w:val="22"/>
          <w:lang w:val="ru-RU"/>
        </w:rPr>
        <w:t>модуля упругости</w:t>
      </w:r>
      <w:r>
        <w:rPr>
          <w:rFonts w:eastAsia="Arial" w:cs="Arial" w:ascii="Times New Roman" w:hAnsi="Times New Roman"/>
          <w:sz w:val="28"/>
          <w:szCs w:val="22"/>
          <w:lang w:val="en-US"/>
        </w:rPr>
        <w:t xml:space="preserve"> при растяжении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2" w:name="__RefHeading___Toc6582_1566460903"/>
      <w:bookmarkEnd w:id="12"/>
      <w:r>
        <w:rPr/>
        <w:t>2.3 Тестирование модели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3" w:name="__RefHeading___Toc3786_2159239638"/>
      <w:bookmarkEnd w:id="13"/>
      <w:r>
        <w:rPr/>
        <w:t>2.4 Написать нейронную сеть, которая будет рекомендовать соотношение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4" w:name="__RefHeading___Toc6584_1566460903"/>
      <w:bookmarkEnd w:id="14"/>
      <w:r>
        <w:rPr/>
        <w:t>2.5 Разработка приложения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Разработанные и обученные модели теперь необходимо как-то применять на практике. Для этих целей было разработано удобное </w:t>
      </w:r>
      <w:r>
        <w:rPr>
          <w:rFonts w:ascii="Times New Roman" w:hAnsi="Times New Roman"/>
          <w:sz w:val="28"/>
          <w:szCs w:val="28"/>
          <w:lang w:val="en-US"/>
        </w:rPr>
        <w:t>web-</w:t>
      </w:r>
      <w:r>
        <w:rPr>
          <w:rFonts w:ascii="Times New Roman" w:hAnsi="Times New Roman"/>
          <w:sz w:val="28"/>
          <w:szCs w:val="28"/>
          <w:lang w:val="ru-RU"/>
        </w:rPr>
        <w:t xml:space="preserve">приложение с использованием библиотеки </w:t>
      </w:r>
      <w:r>
        <w:rPr>
          <w:rFonts w:ascii="Times New Roman" w:hAnsi="Times New Roman"/>
          <w:sz w:val="28"/>
          <w:szCs w:val="28"/>
          <w:lang w:val="en-US"/>
        </w:rPr>
        <w:t xml:space="preserve">Flask. </w:t>
      </w:r>
      <w:r>
        <w:rPr>
          <w:rFonts w:ascii="Times New Roman" w:hAnsi="Times New Roman"/>
          <w:sz w:val="28"/>
          <w:szCs w:val="28"/>
          <w:lang w:val="ru-RU"/>
        </w:rPr>
        <w:t xml:space="preserve">Листинг </w:t>
      </w:r>
      <w:r>
        <w:rPr>
          <w:rFonts w:ascii="Times New Roman" w:hAnsi="Times New Roman"/>
          <w:sz w:val="28"/>
          <w:szCs w:val="28"/>
          <w:lang w:val="en-US"/>
        </w:rPr>
        <w:t>представлен в прилжении 1. Web-</w:t>
      </w:r>
      <w:r>
        <w:rPr>
          <w:rFonts w:ascii="Times New Roman" w:hAnsi="Times New Roman"/>
          <w:sz w:val="28"/>
          <w:szCs w:val="28"/>
          <w:lang w:val="ru-RU"/>
        </w:rPr>
        <w:t xml:space="preserve">приложение ваполнено по традиционной  многостраничное схеме. На стартовой странице (рисунок </w:t>
      </w:r>
      <w:r>
        <w:rPr>
          <w:rFonts w:ascii="Times New Roman" w:hAnsi="Times New Roman"/>
          <w:sz w:val="28"/>
          <w:szCs w:val="28"/>
          <w:lang w:val="ru-RU"/>
        </w:rPr>
        <w:fldChar w:fldCharType="begin"/>
      </w:r>
      <w:r>
        <w:rPr>
          <w:sz w:val="28"/>
          <w:szCs w:val="28"/>
          <w:rFonts w:ascii="Times New Roman" w:hAnsi="Times New Roman"/>
          <w:lang w:val="ru-RU"/>
        </w:rPr>
        <w:instrText> REF Закладка_1 \h </w:instrText>
      </w:r>
      <w:r>
        <w:rPr>
          <w:sz w:val="28"/>
          <w:szCs w:val="28"/>
          <w:rFonts w:ascii="Times New Roman" w:hAnsi="Times New Roman"/>
          <w:lang w:val="ru-RU"/>
        </w:rPr>
        <w:fldChar w:fldCharType="separate"/>
      </w:r>
      <w:r>
        <w:rPr>
          <w:sz w:val="28"/>
          <w:szCs w:val="28"/>
          <w:rFonts w:ascii="Times New Roman" w:hAnsi="Times New Roman"/>
          <w:lang w:val="ru-RU"/>
        </w:rPr>
        <w:t>1</w:t>
      </w:r>
      <w:r>
        <w:rPr>
          <w:sz w:val="28"/>
          <w:szCs w:val="28"/>
          <w:rFonts w:ascii="Times New Roman" w:hAnsi="Times New Roman"/>
          <w:lang w:val="ru-RU"/>
        </w:rPr>
        <w:fldChar w:fldCharType="end"/>
      </w:r>
      <w:r>
        <w:rPr>
          <w:rFonts w:ascii="Times New Roman" w:hAnsi="Times New Roman"/>
          <w:sz w:val="28"/>
          <w:szCs w:val="28"/>
          <w:lang w:val="ru-RU"/>
        </w:rPr>
        <w:t xml:space="preserve">) можно выбрать необходимый тип расчета, в приложении представлены расчеты на основе двух моделей машинного обучения: расчет для рекомендации соотношения матрица-наполнитель выполняется нейросетью, а расчет для предсказания прочности при растяжении выполняется моделью на основе линейной регрессии. </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114800" cy="3959860"/>
            <wp:effectExtent l="0" t="0" r="0" b="0"/>
            <wp:wrapTopAndBottom/>
            <wp:docPr id="2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 descr=""/>
                    <pic:cNvPicPr>
                      <a:picLocks noChangeAspect="1" noChangeArrowheads="1"/>
                    </pic:cNvPicPr>
                  </pic:nvPicPr>
                  <pic:blipFill>
                    <a:blip r:embed="rId28"/>
                    <a:srcRect l="-122" t="-126" r="521" b="555"/>
                    <a:stretch>
                      <a:fillRect/>
                    </a:stretch>
                  </pic:blipFill>
                  <pic:spPr bwMode="auto">
                    <a:xfrm>
                      <a:off x="0" y="0"/>
                      <a:ext cx="411480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5" w:name="Закладка_1"/>
      <w:r>
        <w:rPr>
          <w:rFonts w:ascii="Times New Roman" w:hAnsi="Times New Roman"/>
          <w:sz w:val="28"/>
          <w:szCs w:val="28"/>
        </w:rPr>
        <w:t>1</w:t>
      </w:r>
      <w:bookmarkEnd w:id="15"/>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Стартовая страница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web-</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приложения</w:t>
      </w:r>
    </w:p>
    <w:p>
      <w:pPr>
        <w:pStyle w:val="Normal"/>
        <w:bidi w:val="0"/>
        <w:spacing w:lineRule="auto" w:line="360"/>
        <w:ind w:left="0" w:right="0" w:firstLine="709"/>
        <w:jc w:val="center"/>
        <w:rPr>
          <w:rFonts w:eastAsia="Times New Roman" w:cs="Times New Roman"/>
          <w:b w:val="false"/>
          <w:b w:val="false"/>
          <w:i w:val="false"/>
          <w:i w:val="false"/>
          <w:caps w:val="false"/>
          <w:smallCaps w:val="false"/>
          <w:strike w:val="false"/>
          <w:dstrike w:val="false"/>
          <w:color w:val="000000"/>
          <w:position w:val="0"/>
          <w:sz w:val="24"/>
          <w:sz w:val="24"/>
          <w:u w:val="none"/>
          <w:shd w:fill="auto" w:val="clear"/>
          <w:vertAlign w:val="baseline"/>
          <w:lang w:val="ru-RU"/>
        </w:rPr>
      </w:pPr>
      <w:r>
        <w:rPr>
          <w:rFonts w:eastAsia="Times New Roman" w:cs="Times New Roman"/>
          <w:b w:val="false"/>
          <w:i w:val="false"/>
          <w:caps w:val="false"/>
          <w:smallCaps w:val="false"/>
          <w:strike w:val="false"/>
          <w:dstrike w:val="false"/>
          <w:color w:val="000000"/>
          <w:position w:val="0"/>
          <w:sz w:val="24"/>
          <w:sz w:val="24"/>
          <w:u w:val="none"/>
          <w:shd w:fill="auto" w:val="clear"/>
          <w:vertAlign w:val="baseline"/>
          <w:lang w:val="ru-RU"/>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При выборе типа расчета открывается соответствующая страница (рисунки 2 и 3)</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36195</wp:posOffset>
            </wp:positionV>
            <wp:extent cx="4136390" cy="3959860"/>
            <wp:effectExtent l="0" t="0" r="0" b="0"/>
            <wp:wrapTopAndBottom/>
            <wp:docPr id="2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 descr=""/>
                    <pic:cNvPicPr>
                      <a:picLocks noChangeAspect="1" noChangeArrowheads="1"/>
                    </pic:cNvPicPr>
                  </pic:nvPicPr>
                  <pic:blipFill>
                    <a:blip r:embed="rId29"/>
                    <a:srcRect l="-122" t="667" r="534" b="604"/>
                    <a:stretch>
                      <a:fillRect/>
                    </a:stretch>
                  </pic:blipFill>
                  <pic:spPr bwMode="auto">
                    <a:xfrm>
                      <a:off x="0" y="0"/>
                      <a:ext cx="413639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6" w:name="Закладка_2"/>
      <w:r>
        <w:rPr>
          <w:rFonts w:ascii="Times New Roman" w:hAnsi="Times New Roman"/>
          <w:sz w:val="28"/>
          <w:szCs w:val="28"/>
        </w:rPr>
        <w:t>2</w:t>
      </w:r>
      <w:bookmarkEnd w:id="16"/>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соотношения матрица-наполнитель</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237355" cy="3959860"/>
            <wp:effectExtent l="0" t="0" r="0" b="0"/>
            <wp:wrapTopAndBottom/>
            <wp:docPr id="2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5" descr=""/>
                    <pic:cNvPicPr>
                      <a:picLocks noChangeAspect="1" noChangeArrowheads="1"/>
                    </pic:cNvPicPr>
                  </pic:nvPicPr>
                  <pic:blipFill>
                    <a:blip r:embed="rId30"/>
                    <a:srcRect l="-122" t="-131" r="-122" b="-131"/>
                    <a:stretch>
                      <a:fillRect/>
                    </a:stretch>
                  </pic:blipFill>
                  <pic:spPr bwMode="auto">
                    <a:xfrm>
                      <a:off x="0" y="0"/>
                      <a:ext cx="4237355"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7" w:name="Закладка_21"/>
      <w:r>
        <w:rPr>
          <w:rFonts w:ascii="Times New Roman" w:hAnsi="Times New Roman"/>
          <w:sz w:val="28"/>
          <w:szCs w:val="28"/>
        </w:rPr>
        <w:t>3</w:t>
      </w:r>
      <w:bookmarkEnd w:id="17"/>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При неправильном вводе исходных данных (допускаются только цифры и разделительный знак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r>
        <w:rPr>
          <w:rFonts w:ascii="Times New Roman" w:hAnsi="Times New Roman"/>
          <w:sz w:val="28"/>
          <w:szCs w:val="28"/>
        </w:rPr>
        <w:t xml:space="preserve"> точка) предусмотрена остановка программы расчета и вывод предупреждающего сообщения (рисунок 4)</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211955" cy="3959860"/>
            <wp:effectExtent l="0" t="0" r="0" b="0"/>
            <wp:wrapTopAndBottom/>
            <wp:docPr id="3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4" descr=""/>
                    <pic:cNvPicPr>
                      <a:picLocks noChangeAspect="1" noChangeArrowheads="1"/>
                    </pic:cNvPicPr>
                  </pic:nvPicPr>
                  <pic:blipFill>
                    <a:blip r:embed="rId31"/>
                    <a:srcRect l="-122" t="-130" r="-122" b="-130"/>
                    <a:stretch>
                      <a:fillRect/>
                    </a:stretch>
                  </pic:blipFill>
                  <pic:spPr bwMode="auto">
                    <a:xfrm>
                      <a:off x="0" y="0"/>
                      <a:ext cx="4211955"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4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Предупреждающее сообщение при неправильном вводе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После расчета моделями результата, данные отображаются на экране (рисунок 5 и 6)</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024630" cy="3959860"/>
            <wp:effectExtent l="0" t="0" r="0" b="0"/>
            <wp:wrapTopAndBottom/>
            <wp:docPr id="3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6" descr=""/>
                    <pic:cNvPicPr>
                      <a:picLocks noChangeAspect="1" noChangeArrowheads="1"/>
                    </pic:cNvPicPr>
                  </pic:nvPicPr>
                  <pic:blipFill>
                    <a:blip r:embed="rId32"/>
                    <a:srcRect l="-124" t="-126" r="-124" b="-126"/>
                    <a:stretch>
                      <a:fillRect/>
                    </a:stretch>
                  </pic:blipFill>
                  <pic:spPr bwMode="auto">
                    <a:xfrm>
                      <a:off x="0" y="0"/>
                      <a:ext cx="402463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5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соотношения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010660" cy="3959860"/>
            <wp:effectExtent l="0" t="0" r="0" b="0"/>
            <wp:wrapTopAndBottom/>
            <wp:docPr id="3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7" descr=""/>
                    <pic:cNvPicPr>
                      <a:picLocks noChangeAspect="1" noChangeArrowheads="1"/>
                    </pic:cNvPicPr>
                  </pic:nvPicPr>
                  <pic:blipFill>
                    <a:blip r:embed="rId33"/>
                    <a:srcRect l="-124" t="-126" r="-124" b="-126"/>
                    <a:stretch>
                      <a:fillRect/>
                    </a:stretch>
                  </pic:blipFill>
                  <pic:spPr bwMode="auto">
                    <a:xfrm>
                      <a:off x="0" y="0"/>
                      <a:ext cx="401066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6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прочности при растяжении</w:t>
      </w:r>
      <w:r>
        <w:br w:type="page"/>
      </w:r>
    </w:p>
    <w:p>
      <w:pPr>
        <w:pStyle w:val="2"/>
        <w:ind w:left="0" w:right="0" w:firstLine="709"/>
        <w:rPr>
          <w:rFonts w:ascii="Times New Roman" w:hAnsi="Times New Roman"/>
          <w:sz w:val="28"/>
          <w:szCs w:val="28"/>
        </w:rPr>
      </w:pPr>
      <w:bookmarkStart w:id="18" w:name="__RefHeading___Toc6586_1566460903"/>
      <w:bookmarkEnd w:id="18"/>
      <w:r>
        <w:rPr/>
        <w:t>2.6 Создание удаленного репозитория и загрузка результатов работы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1"/>
        <w:rPr>
          <w:rFonts w:ascii="Times New Roman" w:hAnsi="Times New Roman"/>
          <w:sz w:val="28"/>
          <w:szCs w:val="28"/>
        </w:rPr>
      </w:pPr>
      <w:bookmarkStart w:id="19" w:name="__RefHeading___Toc6588_1566460903"/>
      <w:bookmarkEnd w:id="19"/>
      <w:r>
        <w:rPr/>
        <w:t>Заключение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0" w:name="__RefHeading___Toc6590_1566460903"/>
      <w:bookmarkEnd w:id="20"/>
      <w:r>
        <w:rPr>
          <w:rFonts w:eastAsia="Times New Roman" w:cs="Times New Roman"/>
        </w:rPr>
        <w:t>Библиографический список</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1. https://habr.com/ru/post/571296/</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2. https://scikit-learn.ru/</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1" w:name="__RefHeading___Toc6592_1566460903"/>
      <w:bookmarkEnd w:id="21"/>
      <w:r>
        <w:rPr>
          <w:rFonts w:eastAsia="Times New Roman" w:cs="Times New Roman"/>
        </w:rPr>
        <w:t>Приложение 1</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2" w:name="__RefHeading___Toc6594_1566460903"/>
      <w:bookmarkEnd w:id="22"/>
      <w:r>
        <w:rPr>
          <w:rFonts w:eastAsia="Times New Roman" w:cs="Times New Roman"/>
        </w:rPr>
        <w:t>Приложение 2</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прп ККК</w:t>
      </w:r>
    </w:p>
    <w:sectPr>
      <w:headerReference w:type="default" r:id="rId34"/>
      <w:headerReference w:type="first" r:id="rId35"/>
      <w:footerReference w:type="default" r:id="rId36"/>
      <w:footerReference w:type="first" r:id="rId37"/>
      <w:type w:val="nextPage"/>
      <w:pgSz w:w="11906" w:h="16838"/>
      <w:pgMar w:left="1701" w:right="567" w:gutter="0" w:header="1134" w:top="1191" w:footer="850" w:bottom="907"/>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jc w:val="center"/>
      <w:rPr/>
    </w:pPr>
    <w:r>
      <w:rPr/>
      <w:fldChar w:fldCharType="begin"/>
    </w:r>
    <w:r>
      <w:rPr/>
      <w:instrText> PAGE </w:instrText>
    </w:r>
    <w:r>
      <w:rPr/>
      <w:fldChar w:fldCharType="separate"/>
    </w:r>
    <w:r>
      <w:rPr/>
      <w:t>35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drawing>
        <wp:anchor behindDoc="1" distT="0" distB="0" distL="0" distR="0" simplePos="0" locked="0" layoutInCell="0" allowOverlap="1" relativeHeight="46">
          <wp:simplePos x="0" y="0"/>
          <wp:positionH relativeFrom="column">
            <wp:posOffset>4001135</wp:posOffset>
          </wp:positionH>
          <wp:positionV relativeFrom="paragraph">
            <wp:posOffset>-556260</wp:posOffset>
          </wp:positionV>
          <wp:extent cx="2205990" cy="582295"/>
          <wp:effectExtent l="0" t="0" r="0" b="0"/>
          <wp:wrapNone/>
          <wp:docPr id="3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0"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drawing>
        <wp:anchor behindDoc="1" distT="0" distB="0" distL="0" distR="0" simplePos="0" locked="0" layoutInCell="0" allowOverlap="1" relativeHeight="47">
          <wp:simplePos x="0" y="0"/>
          <wp:positionH relativeFrom="column">
            <wp:posOffset>4001135</wp:posOffset>
          </wp:positionH>
          <wp:positionV relativeFrom="paragraph">
            <wp:posOffset>-556260</wp:posOffset>
          </wp:positionV>
          <wp:extent cx="2205990" cy="582295"/>
          <wp:effectExtent l="0" t="0" r="0" b="0"/>
          <wp:wrapNone/>
          <wp:docPr id="3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30"/>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w:color w:val="auto"/>
      <w:kern w:val="2"/>
      <w:sz w:val="24"/>
      <w:szCs w:val="24"/>
      <w:lang w:val="ru-RU" w:eastAsia="zh-CN" w:bidi="hi-IN"/>
    </w:rPr>
  </w:style>
  <w:style w:type="paragraph" w:styleId="1">
    <w:name w:val="Heading 1"/>
    <w:basedOn w:val="Style16"/>
    <w:next w:val="Style17"/>
    <w:qFormat/>
    <w:pPr>
      <w:numPr>
        <w:ilvl w:val="0"/>
        <w:numId w:val="1"/>
      </w:numPr>
      <w:spacing w:lineRule="auto" w:line="360" w:before="85" w:after="85"/>
      <w:jc w:val="center"/>
      <w:outlineLvl w:val="0"/>
    </w:pPr>
    <w:rPr>
      <w:rFonts w:ascii="Times New Roman" w:hAnsi="Times New Roman"/>
      <w:b/>
      <w:bCs/>
      <w:sz w:val="32"/>
      <w:szCs w:val="36"/>
    </w:rPr>
  </w:style>
  <w:style w:type="paragraph" w:styleId="2">
    <w:name w:val="Heading 2"/>
    <w:basedOn w:val="Style16"/>
    <w:next w:val="Style17"/>
    <w:qFormat/>
    <w:pPr>
      <w:numPr>
        <w:ilvl w:val="1"/>
        <w:numId w:val="1"/>
      </w:numPr>
      <w:tabs>
        <w:tab w:val="clear" w:pos="643"/>
      </w:tabs>
      <w:spacing w:lineRule="auto" w:line="360" w:before="85" w:after="85"/>
      <w:ind w:left="0" w:right="0" w:firstLine="709"/>
      <w:jc w:val="left"/>
      <w:outlineLvl w:val="1"/>
    </w:pPr>
    <w:rPr>
      <w:rFonts w:ascii="Times New Roman" w:hAnsi="Times New Roman"/>
      <w:b/>
      <w:bCs/>
      <w:sz w:val="32"/>
      <w:szCs w:val="32"/>
    </w:rPr>
  </w:style>
  <w:style w:type="paragraph" w:styleId="3">
    <w:name w:val="Heading 3"/>
    <w:basedOn w:val="Style16"/>
    <w:next w:val="Style17"/>
    <w:qFormat/>
    <w:pPr>
      <w:numPr>
        <w:ilvl w:val="2"/>
        <w:numId w:val="1"/>
      </w:numPr>
      <w:spacing w:lineRule="auto" w:line="360" w:before="140" w:after="120"/>
      <w:ind w:left="0" w:right="0" w:firstLine="709"/>
      <w:outlineLvl w:val="2"/>
    </w:pPr>
    <w:rPr>
      <w:rFonts w:ascii="Times New Roman" w:hAnsi="Times New Roman"/>
      <w:b/>
      <w:bCs/>
      <w:sz w:val="32"/>
      <w:szCs w:val="28"/>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Выделение жирным"/>
    <w:qFormat/>
    <w:rPr>
      <w:b/>
      <w:bCs/>
    </w:rPr>
  </w:style>
  <w:style w:type="character" w:styleId="Style14">
    <w:name w:val="Маркеры"/>
    <w:qFormat/>
    <w:rPr>
      <w:rFonts w:ascii="OpenSymbol" w:hAnsi="OpenSymbol" w:eastAsia="OpenSymbol" w:cs="OpenSymbol"/>
    </w:rPr>
  </w:style>
  <w:style w:type="character" w:styleId="Style15">
    <w:name w:val="Исходный текст"/>
    <w:qFormat/>
    <w:rPr>
      <w:rFonts w:ascii="Liberation Mono" w:hAnsi="Liberation Mono" w:eastAsia="NSimSun" w:cs="Liberation Mono"/>
    </w:rPr>
  </w:style>
  <w:style w:type="paragraph" w:styleId="Style16">
    <w:name w:val="Заголовок"/>
    <w:basedOn w:val="Normal"/>
    <w:next w:val="Style17"/>
    <w:qFormat/>
    <w:pPr>
      <w:keepNext w:val="true"/>
      <w:spacing w:before="240" w:after="120"/>
    </w:pPr>
    <w:rPr>
      <w:rFonts w:ascii="Liberation Sans" w:hAnsi="Liberation Sans" w:eastAsia="Microsoft YaHei"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Указатель"/>
    <w:basedOn w:val="Normal"/>
    <w:qFormat/>
    <w:pPr>
      <w:suppressLineNumbers/>
    </w:pPr>
    <w:rPr>
      <w:rFonts w:cs="Arial"/>
      <w:lang w:val="zxx" w:eastAsia="zxx" w:bidi="zxx"/>
    </w:rPr>
  </w:style>
  <w:style w:type="paragraph" w:styleId="Style21">
    <w:name w:val="Колонтитул"/>
    <w:basedOn w:val="Normal"/>
    <w:qFormat/>
    <w:pPr>
      <w:suppressLineNumbers/>
      <w:tabs>
        <w:tab w:val="clear" w:pos="643"/>
        <w:tab w:val="center" w:pos="4819" w:leader="none"/>
        <w:tab w:val="right" w:pos="9638" w:leader="none"/>
      </w:tabs>
    </w:pPr>
    <w:rPr/>
  </w:style>
  <w:style w:type="paragraph" w:styleId="Style22">
    <w:name w:val="Header"/>
    <w:basedOn w:val="Style21"/>
    <w:pPr>
      <w:suppressLineNumbers/>
    </w:pPr>
    <w:rPr/>
  </w:style>
  <w:style w:type="paragraph" w:styleId="Style23">
    <w:name w:val="Index Heading"/>
    <w:basedOn w:val="Style16"/>
    <w:pPr>
      <w:suppressLineNumbers/>
      <w:ind w:left="0" w:right="0" w:hanging="0"/>
    </w:pPr>
    <w:rPr>
      <w:b/>
      <w:bCs/>
      <w:sz w:val="32"/>
      <w:szCs w:val="32"/>
    </w:rPr>
  </w:style>
  <w:style w:type="paragraph" w:styleId="Style24">
    <w:name w:val="TOC Heading"/>
    <w:basedOn w:val="Style23"/>
    <w:pPr>
      <w:suppressLineNumbers/>
      <w:spacing w:lineRule="auto" w:line="360"/>
      <w:ind w:left="0" w:right="0" w:hanging="0"/>
      <w:jc w:val="center"/>
    </w:pPr>
    <w:rPr>
      <w:rFonts w:ascii="Times New Roman" w:hAnsi="Times New Roman"/>
      <w:b/>
      <w:bCs/>
      <w:sz w:val="32"/>
      <w:szCs w:val="32"/>
    </w:rPr>
  </w:style>
  <w:style w:type="paragraph" w:styleId="11">
    <w:name w:val="TOC 1"/>
    <w:basedOn w:val="Style20"/>
    <w:pPr>
      <w:tabs>
        <w:tab w:val="clear" w:pos="643"/>
        <w:tab w:val="right" w:pos="9638" w:leader="dot"/>
      </w:tabs>
      <w:spacing w:lineRule="auto" w:line="360"/>
      <w:ind w:left="0" w:right="0" w:hanging="0"/>
    </w:pPr>
    <w:rPr>
      <w:rFonts w:ascii="Times New Roman" w:hAnsi="Times New Roman"/>
      <w:sz w:val="28"/>
    </w:rPr>
  </w:style>
  <w:style w:type="paragraph" w:styleId="21">
    <w:name w:val="TOC 2"/>
    <w:basedOn w:val="Style20"/>
    <w:pPr>
      <w:tabs>
        <w:tab w:val="clear" w:pos="643"/>
        <w:tab w:val="right" w:pos="9355" w:leader="dot"/>
      </w:tabs>
      <w:spacing w:lineRule="auto" w:line="360"/>
      <w:ind w:left="283" w:right="0" w:hanging="0"/>
    </w:pPr>
    <w:rPr>
      <w:rFonts w:ascii="Times New Roman" w:hAnsi="Times New Roman"/>
      <w:sz w:val="28"/>
    </w:rPr>
  </w:style>
  <w:style w:type="paragraph" w:styleId="Style25">
    <w:name w:val="Footer"/>
    <w:basedOn w:val="Style21"/>
    <w:pPr>
      <w:suppressLineNumbers/>
    </w:pPr>
    <w:rPr/>
  </w:style>
  <w:style w:type="paragraph" w:styleId="Style26">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7">
    <w:name w:val="для ВКР"/>
    <w:basedOn w:val="Normal"/>
    <w:qFormat/>
    <w:pPr>
      <w:spacing w:lineRule="auto" w:line="360" w:before="0" w:after="0"/>
      <w:ind w:firstLine="709"/>
      <w:jc w:val="both"/>
    </w:pPr>
    <w:rPr>
      <w:rFonts w:ascii="Times New Roman" w:hAnsi="Times New Roman" w:eastAsia="Arial" w:cs="Arial"/>
      <w:sz w:val="28"/>
      <w:lang w:eastAsia="ru-RU"/>
    </w:rPr>
  </w:style>
  <w:style w:type="paragraph" w:styleId="Style28">
    <w:name w:val="Содержимое таблицы"/>
    <w:basedOn w:val="Normal"/>
    <w:qFormat/>
    <w:pPr>
      <w:widowControl w:val="false"/>
      <w:suppressLineNumbers/>
    </w:pPr>
    <w:rPr/>
  </w:style>
  <w:style w:type="paragraph" w:styleId="Style29">
    <w:name w:val="Заголовок таблицы"/>
    <w:basedOn w:val="Style28"/>
    <w:qFormat/>
    <w:pPr>
      <w:suppressLineNumbers/>
      <w:jc w:val="center"/>
    </w:pPr>
    <w:rPr>
      <w:b/>
      <w:bC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val="ru-RU"/>
    </w:rPr>
  </w:style>
  <w:style w:type="paragraph" w:styleId="31">
    <w:name w:val="TOC 3"/>
    <w:basedOn w:val="Style20"/>
    <w:pPr>
      <w:tabs>
        <w:tab w:val="clear" w:pos="643"/>
        <w:tab w:val="right" w:pos="9071" w:leader="dot"/>
      </w:tabs>
      <w:spacing w:lineRule="auto" w:line="360"/>
      <w:ind w:left="567" w:hanging="0"/>
    </w:pPr>
    <w:rPr>
      <w:rFonts w:ascii="Times New Roman" w:hAnsi="Times New Roman"/>
      <w:sz w:val="2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3.png"/>
</Relationships>
</file>

<file path=word/_rels/header2.xml.rels><?xml version="1.0" encoding="UTF-8"?>
<Relationships xmlns="http://schemas.openxmlformats.org/package/2006/relationships"><Relationship Id="rId1" Type="http://schemas.openxmlformats.org/officeDocument/2006/relationships/image" Target="media/image33.png"/>
</Relationships>
</file>

<file path=docProps/app.xml><?xml version="1.0" encoding="utf-8"?>
<Properties xmlns="http://schemas.openxmlformats.org/officeDocument/2006/extended-properties" xmlns:vt="http://schemas.openxmlformats.org/officeDocument/2006/docPropsVTypes">
  <Template/>
  <TotalTime>102</TotalTime>
  <Application>LibreOffice/7.2.4.1$Windows_X86_64 LibreOffice_project/27d75539669ac387bb498e35313b970b7fe9c4f9</Application>
  <AppVersion>15.0000</AppVersion>
  <Pages>48</Pages>
  <Words>3277</Words>
  <Characters>22703</Characters>
  <CharactersWithSpaces>25831</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2022-12-12T15:29:03Z</dcterms:created>
  <dc:creator/>
  <dc:description/>
  <dc:language>ru-RU</dc:language>
  <cp:lastModifiedBy/>
  <dcterms:modified xsi:type="dcterms:W3CDTF">2022-12-17T15:22:16Z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