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Пояснительная записка к проекту озеленения</w:t>
      </w:r>
    </w:p>
    <w:p>
      <w:pPr>
        <w:jc w:val="center"/>
      </w:pPr>
      <w:r>
        <w:t>Участок озеленения</w:t>
      </w:r>
    </w:p>
    <w:p>
      <w:pPr>
        <w:jc w:val="center"/>
      </w:pPr>
      <w:r>
        <w:rPr>
          <w:i/>
        </w:rPr>
        <w:t>Сформировано сервисом GreenCity (GreenPlan) 28.09.2026</w:t>
      </w:r>
    </w:p>
    <w:p>
      <w:pPr>
        <w:pStyle w:val="Heading1"/>
      </w:pPr>
      <w:r>
        <w:t>1. Общие сведения об участке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69"/>
        <w:gridCol w:w="5669"/>
      </w:tblGrid>
      <w:tr>
        <w:trPr>
          <w:tblHeader w:val="true"/>
        </w:trPr>
        <w:tc>
          <w:tcPr>
            <w:tcW w:type="dxa" w:w="3969"/>
            <w:shd w:val="clear" w:fill="E7E6E6"/>
          </w:tcPr>
          <w:p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5669"/>
            <w:shd w:val="clear" w:fill="E7E6E6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Объект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Участок озеленения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Площадь участка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27 000 м²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Площадь, пригодная для посадки деревьев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3 862 м² (14%)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Тип территории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дворовая территория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Зданий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Ограничения на участке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здания, прочие зоны (парковки, неуточнённые сети), силовой кабель, газопровод, теплосеть, пешеходные дорожки и тротуары, детские площадки, проезжая часть, канализация, водосток, дренаж, кабель связи, трансформаторная подстанция, водопровод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Существующих деревьев / кустарников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26 / 20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Предложено новых посадок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608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Газон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устройство нового — 5 548 м², существующий сохраняется — 4 152 м²</w:t>
            </w:r>
          </w:p>
        </w:tc>
      </w:tr>
    </w:tbl>
    <w:p/>
    <w:p>
      <w:pPr>
        <w:pStyle w:val="Heading1"/>
      </w:pPr>
      <w:r>
        <w:t>2. Нормативная база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69"/>
        <w:gridCol w:w="5669"/>
      </w:tblGrid>
      <w:tr>
        <w:trPr>
          <w:tblHeader w:val="true"/>
        </w:trPr>
        <w:tc>
          <w:tcPr>
            <w:tcW w:type="dxa" w:w="3969"/>
            <w:shd w:val="clear" w:fill="E7E6E6"/>
          </w:tcPr>
          <w:p>
            <w:r>
              <w:rPr>
                <w:b/>
                <w:sz w:val="20"/>
              </w:rPr>
              <w:t>Документ</w:t>
            </w:r>
          </w:p>
        </w:tc>
        <w:tc>
          <w:tcPr>
            <w:tcW w:type="dxa" w:w="5669"/>
            <w:shd w:val="clear" w:fill="E7E6E6"/>
          </w:tcPr>
          <w:p>
            <w:r>
              <w:rPr>
                <w:b/>
                <w:sz w:val="20"/>
              </w:rPr>
              <w:t>Что применено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СП 42.13330.2016, п. 9.6, табл. 9.1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Расстояния от зданий, сооружений и сетей до деревьев и кустарников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ППМ 743-ПП, табл. 3.6.1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Те же расстояния, в т.ч. «теплопровод, трубопровод, теплосеть» — 2 м; деревья с широкой кроной — не ближе 10 м от здания (прим. 3)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МГСН 1.02-02 (ППМ 623-ПП), п. 4.2.8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Породы, чувствительные к прогреву почвы, у теплотрасс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СП 82.13330.2016, п. 9.22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Колючие растения — не ближе 2 м от площадок и пешеходных коммуникаций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ППМ 369-ПП, приложение 1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Перечень инвазивных видов: ни один не включён в посадку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Ассортимент для озеленения Москвы (основной, дополнительный, перспективный)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Подбор видов по типу территории и кодам ограничений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ППМ 515-ПП, табл. 4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Базовый ассортимент — приоритет при подборе видов для дворовых территорий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ГОСТ 21.508-2020, форма 9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Форма ведомости элементов озеленения</w:t>
            </w:r>
          </w:p>
        </w:tc>
      </w:tr>
    </w:tbl>
    <w:p/>
    <w:p>
      <w:pPr>
        <w:pStyle w:val="Heading2"/>
      </w:pPr>
      <w:r>
        <w:t>2.1. Отступы посадок, применённые на участке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18"/>
        <w:gridCol w:w="1247"/>
        <w:gridCol w:w="1417"/>
        <w:gridCol w:w="3855"/>
      </w:tblGrid>
      <w:tr>
        <w:trPr>
          <w:tblHeader w:val="true"/>
        </w:trPr>
        <w:tc>
          <w:tcPr>
            <w:tcW w:type="dxa" w:w="3118"/>
            <w:shd w:val="clear" w:fill="E7E6E6"/>
          </w:tcPr>
          <w:p>
            <w:r>
              <w:rPr>
                <w:b/>
                <w:sz w:val="20"/>
              </w:rPr>
              <w:t>Ограничение</w:t>
            </w:r>
          </w:p>
        </w:tc>
        <w:tc>
          <w:tcPr>
            <w:tcW w:type="dxa" w:w="1247"/>
            <w:shd w:val="clear" w:fill="E7E6E6"/>
          </w:tcPr>
          <w:p>
            <w:r>
              <w:rPr>
                <w:b/>
                <w:sz w:val="20"/>
              </w:rPr>
              <w:t>Дерево, м</w:t>
            </w:r>
          </w:p>
        </w:tc>
        <w:tc>
          <w:tcPr>
            <w:tcW w:type="dxa" w:w="1417"/>
            <w:shd w:val="clear" w:fill="E7E6E6"/>
          </w:tcPr>
          <w:p>
            <w:r>
              <w:rPr>
                <w:b/>
                <w:sz w:val="20"/>
              </w:rPr>
              <w:t>Кустарник, м</w:t>
            </w:r>
          </w:p>
        </w:tc>
        <w:tc>
          <w:tcPr>
            <w:tcW w:type="dxa" w:w="3855"/>
            <w:shd w:val="clear" w:fill="E7E6E6"/>
          </w:tcPr>
          <w:p>
            <w:r>
              <w:rPr>
                <w:b/>
                <w:sz w:val="20"/>
              </w:rPr>
              <w:t>Источник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здания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1,5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прочие зоны (парковки, неуточнённые сети)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табличной нормы нет — отступ по ширине самой зоны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силовой кабель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0,7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газопровод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1,5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теплосеть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пешеходные дорожки и тротуары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0,7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0,5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детские площадки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табличной нормы нет — отступ по ширине самой зоны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проезжая часть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канализация, водосток, дренаж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1,5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кабель связи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0,7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трансформаторная подстанция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табличной нормы нет — отступ по ширине самой зоны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водопровод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</w:tbl>
    <w:p/>
    <w:p>
      <w:r>
        <w:t>Отступ отсчитывается от края зоны ограничения; для сетей зона уже включает охранный коридор, поэтому фактическое расстояние до оси сети больше нормы.</w:t>
      </w:r>
    </w:p>
    <w:p>
      <w:pPr>
        <w:pStyle w:val="Heading2"/>
      </w:pPr>
      <w:r>
        <w:t>2.2. Увеличенные отступы по породе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35"/>
        <w:gridCol w:w="2551"/>
        <w:gridCol w:w="1247"/>
        <w:gridCol w:w="3005"/>
      </w:tblGrid>
      <w:tr>
        <w:trPr>
          <w:tblHeader w:val="true"/>
        </w:trPr>
        <w:tc>
          <w:tcPr>
            <w:tcW w:type="dxa" w:w="2835"/>
            <w:shd w:val="clear" w:fill="E7E6E6"/>
          </w:tcPr>
          <w:p>
            <w:r>
              <w:rPr>
                <w:b/>
                <w:sz w:val="20"/>
              </w:rPr>
              <w:t>Вид</w:t>
            </w:r>
          </w:p>
        </w:tc>
        <w:tc>
          <w:tcPr>
            <w:tcW w:type="dxa" w:w="2551"/>
            <w:shd w:val="clear" w:fill="E7E6E6"/>
          </w:tcPr>
          <w:p>
            <w:r>
              <w:rPr>
                <w:b/>
                <w:sz w:val="20"/>
              </w:rPr>
              <w:t>От чего</w:t>
            </w:r>
          </w:p>
        </w:tc>
        <w:tc>
          <w:tcPr>
            <w:tcW w:type="dxa" w:w="1247"/>
            <w:shd w:val="clear" w:fill="E7E6E6"/>
          </w:tcPr>
          <w:p>
            <w:r>
              <w:rPr>
                <w:b/>
                <w:sz w:val="20"/>
              </w:rPr>
              <w:t>Не ближе, м</w:t>
            </w:r>
          </w:p>
        </w:tc>
        <w:tc>
          <w:tcPr>
            <w:tcW w:type="dxa" w:w="3005"/>
            <w:shd w:val="clear" w:fill="E7E6E6"/>
          </w:tcPr>
          <w:p>
            <w:r>
              <w:rPr>
                <w:b/>
                <w:sz w:val="20"/>
              </w:rPr>
              <w:t>Источник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Жимолость золотистая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теплосеть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МГСН 1.02-02, п. 4.2.8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Кизильник блестящий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теплосеть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МГСН 1.02-02, п. 4.2.8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Клен остролистный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здания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ППМ 743-ПП, табл. 3.6.1, прим. 3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Клен остролистный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теплосеть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МГСН 1.02-02, п. 4.2.8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Липа мелколистная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здания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ППМ 743-ПП, табл. 3.6.1, прим. 3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Липа мелколистная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теплосеть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МГСН 1.02-02, п. 4.2.8</w:t>
            </w:r>
          </w:p>
        </w:tc>
      </w:tr>
    </w:tbl>
    <w:p/>
    <w:p>
      <w:pPr>
        <w:pStyle w:val="Heading1"/>
      </w:pPr>
      <w:r>
        <w:t>3. Принятые решения</w:t>
      </w:r>
    </w:p>
    <w:p>
      <w:r>
        <w:t>Сначала принято общее решение на участок — стиль озеленения по похожим реализованным проектам и единая палитра видов; затем для каждой геометрической зоны выбран приём в этом стиле. Виды растений — по ассортименту и нормам. Расстановка рассчитана детерминированно, с проверкой отступов в каждой точке.</w:t>
      </w:r>
    </w:p>
    <w:p>
      <w:r>
        <w:t>Параметры, заданные пользователем:</w:t>
      </w:r>
    </w:p>
    <w:p>
      <w:pPr>
        <w:pStyle w:val="ListBullet"/>
      </w:pPr>
      <w:r>
        <w:t>Стиль участка: по похожим проектам.</w:t>
      </w:r>
    </w:p>
    <w:p>
      <w:pPr>
        <w:pStyle w:val="ListBullet"/>
      </w:pPr>
      <w:r>
        <w:t>Посадки: деревья, кустарники, газон.</w:t>
      </w:r>
    </w:p>
    <w:p>
      <w:pPr>
        <w:pStyle w:val="ListBullet"/>
      </w:pPr>
      <w:r>
        <w:t>Благоустройство: дорожки, освещение, скамейки и урны.</w:t>
      </w:r>
    </w:p>
    <w:p>
      <w:pPr>
        <w:pStyle w:val="ListBullet"/>
      </w:pPr>
      <w:r>
        <w:t>Вдоль новых дорожек поставлено 1 фонарей из 15 по шагу 20 м: остальные места попадают в охранные зоны инженерных сетей — опоры там без согласования с владельцем сети не ставят.</w:t>
      </w:r>
    </w:p>
    <w:p>
      <w:r>
        <w:t>Стиль участка: пейзажный, ведущий аналог — проект «синтетический эталон «Двор с детской площадкой»». Приёмы зон подобраны в этом стиле.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01"/>
        <w:gridCol w:w="2154"/>
        <w:gridCol w:w="1134"/>
        <w:gridCol w:w="2268"/>
        <w:gridCol w:w="2381"/>
      </w:tblGrid>
      <w:tr>
        <w:trPr>
          <w:tblHeader w:val="true"/>
        </w:trPr>
        <w:tc>
          <w:tcPr>
            <w:tcW w:type="dxa" w:w="1701"/>
            <w:shd w:val="clear" w:fill="E7E6E6"/>
          </w:tcPr>
          <w:p>
            <w:r>
              <w:rPr>
                <w:b/>
                <w:sz w:val="20"/>
              </w:rPr>
              <w:t>Место</w:t>
            </w:r>
          </w:p>
        </w:tc>
        <w:tc>
          <w:tcPr>
            <w:tcW w:type="dxa" w:w="2154"/>
            <w:shd w:val="clear" w:fill="E7E6E6"/>
          </w:tcPr>
          <w:p>
            <w:r>
              <w:rPr>
                <w:b/>
                <w:sz w:val="20"/>
              </w:rPr>
              <w:t>Приём</w:t>
            </w:r>
          </w:p>
        </w:tc>
        <w:tc>
          <w:tcPr>
            <w:tcW w:type="dxa" w:w="1134"/>
            <w:shd w:val="clear" w:fill="E7E6E6"/>
          </w:tcPr>
          <w:p>
            <w:r>
              <w:rPr>
                <w:b/>
                <w:sz w:val="20"/>
              </w:rPr>
              <w:t>Зон / м²</w:t>
            </w:r>
          </w:p>
        </w:tc>
        <w:tc>
          <w:tcPr>
            <w:tcW w:type="dxa" w:w="2268"/>
            <w:shd w:val="clear" w:fill="E7E6E6"/>
          </w:tcPr>
          <w:p>
            <w:r>
              <w:rPr>
                <w:b/>
                <w:sz w:val="20"/>
              </w:rPr>
              <w:t>Происхождение решения</w:t>
            </w:r>
          </w:p>
        </w:tc>
        <w:tc>
          <w:tcPr>
            <w:tcW w:type="dxa" w:w="2381"/>
            <w:shd w:val="clear" w:fill="E7E6E6"/>
          </w:tcPr>
          <w:p>
            <w:r>
              <w:rPr>
                <w:b/>
                <w:sz w:val="20"/>
              </w:rPr>
              <w:t>Виды (по нормативу)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открытая площадь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Равномерный редкий разброс по всей площади (без кластеров)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9 / 1 792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по аналогии с проектом «синтетический эталон «Двор с детской площадкой»»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>деревья: Клен остролистный, Липа мелколистная, Бархат Амурский; кустарники: Жимолость золотистая, Смородина золотистая, Кизильник блестящий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полоса вдоль дорожек и проезжей части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Линейная посадка (живая изгородь/ряд вдоль полосы)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36 / 1 710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по аналогии с проектом «синтетический эталон «Двор с детской площадкой»»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>деревья: Клен остролистный; кустарники: Кизильник блестящий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полоса вдоль зданий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Кольцо кустарника вокруг здания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25 / 340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по аналогии с проектом «синтетический эталон «Двор с детской площадкой»»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>деревья: Черемуха пенсильванская; кустарники: Жимолость золотистая, Смородина золотистая</w:t>
            </w:r>
          </w:p>
        </w:tc>
      </w:tr>
    </w:tbl>
    <w:p/>
    <w:p>
      <w:pPr>
        <w:pStyle w:val="Heading2"/>
      </w:pPr>
      <w:r>
        <w:t>3.1. Проекты-аналоги</w:t>
      </w:r>
    </w:p>
    <w:p>
      <w:pPr>
        <w:pStyle w:val="ListBullet"/>
      </w:pPr>
      <w:r>
        <w:rPr>
          <w:b/>
        </w:rPr>
        <w:t xml:space="preserve">синтетический эталон «Двор с детской площадкой»: </w:t>
      </w:r>
      <w:r>
        <w:t>Двор трёх пятиэтажек: вдоль фасадов — полоса спиреи Вангутта с разрывами у каждого подъезда, деревья — не ближе 5 м к стенам (липа и клён с широкой кроной — не ближе 10 м), чтобы не затенять окна первых этажей.</w:t>
      </w:r>
    </w:p>
    <w:p>
      <w:pPr>
        <w:pStyle w:val="Heading2"/>
      </w:pPr>
      <w:r>
        <w:t>3.2. Основание подбора видов</w:t>
      </w:r>
    </w:p>
    <w:p>
      <w:pPr>
        <w:pStyle w:val="ListBullet"/>
      </w:pPr>
      <w:r>
        <w:t>Ассортимент для озеленения Москвы, категория «дворовые территории»; в приоритете базовый ассортимент ППМ 515-ПП; без инвазивных видов ППМ 369-ПП.</w:t>
      </w:r>
    </w:p>
    <w:p>
      <w:pPr>
        <w:pStyle w:val="Heading1"/>
      </w:pPr>
      <w:r>
        <w:t>4. Ведомость элементов озеленения</w:t>
      </w:r>
    </w:p>
    <w:p>
      <w:r>
        <w:t>Форма 9 по ГОСТ 21.508-2020.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80"/>
        <w:gridCol w:w="4535"/>
        <w:gridCol w:w="1134"/>
        <w:gridCol w:w="850"/>
        <w:gridCol w:w="2438"/>
      </w:tblGrid>
      <w:tr>
        <w:trPr>
          <w:tblHeader w:val="true"/>
        </w:trPr>
        <w:tc>
          <w:tcPr>
            <w:tcW w:type="dxa" w:w="680"/>
            <w:shd w:val="clear" w:fill="E7E6E6"/>
          </w:tcPr>
          <w:p>
            <w:r>
              <w:rPr>
                <w:b/>
                <w:sz w:val="20"/>
              </w:rPr>
              <w:t>Поз.</w:t>
            </w:r>
          </w:p>
        </w:tc>
        <w:tc>
          <w:tcPr>
            <w:tcW w:type="dxa" w:w="4535"/>
            <w:shd w:val="clear" w:fill="E7E6E6"/>
          </w:tcPr>
          <w:p>
            <w:r>
              <w:rPr>
                <w:b/>
                <w:sz w:val="20"/>
              </w:rPr>
              <w:t>Наименование породы или вида насаждения</w:t>
            </w:r>
          </w:p>
        </w:tc>
        <w:tc>
          <w:tcPr>
            <w:tcW w:type="dxa" w:w="1134"/>
            <w:shd w:val="clear" w:fill="E7E6E6"/>
          </w:tcPr>
          <w:p>
            <w:r>
              <w:rPr>
                <w:b/>
                <w:sz w:val="20"/>
              </w:rPr>
              <w:t>Возраст, лет</w:t>
            </w:r>
          </w:p>
        </w:tc>
        <w:tc>
          <w:tcPr>
            <w:tcW w:type="dxa" w:w="850"/>
            <w:shd w:val="clear" w:fill="E7E6E6"/>
          </w:tcPr>
          <w:p>
            <w:r>
              <w:rPr>
                <w:b/>
                <w:sz w:val="20"/>
              </w:rPr>
              <w:t>Кол.</w:t>
            </w:r>
          </w:p>
        </w:tc>
        <w:tc>
          <w:tcPr>
            <w:tcW w:type="dxa" w:w="2438"/>
            <w:shd w:val="clear" w:fill="E7E6E6"/>
          </w:tcPr>
          <w:p>
            <w:r>
              <w:rPr>
                <w:b/>
                <w:sz w:val="20"/>
              </w:rPr>
              <w:t>Примечание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Клен остролистный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по ППМ 515-ПП, табл. 4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Черемуха пенсильванская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Липа мелколистная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по ППМ 515-ПП, табл. 4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Бархат Амурский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Кизильник блестящий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247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по ППМ 515-ПП, табл. 4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Жимолость золотистая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168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по ППМ 515-ПП, табл. 4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Смородина золотистая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Газон обыкновенный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5 548 м²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посев из устойчивой травосмеси (ППМ 515-ПП, табл. 4)</w:t>
            </w:r>
          </w:p>
        </w:tc>
      </w:tr>
    </w:tbl>
    <w:p/>
    <w:p>
      <w:r>
        <w:t>Итого: деревьев — 43, кустарников — 565, газона (устройство) — 5 548 м².</w:t>
      </w:r>
    </w:p>
    <w:p>
      <w:pPr>
        <w:pStyle w:val="Heading2"/>
      </w:pPr>
      <w:r>
        <w:t>4.1. Благоустройство</w:t>
      </w:r>
    </w:p>
    <w:p>
      <w:r>
        <w:t>Дорожки проложены от подъездов к подъездам и к парковкам; фонари и скамейки с урнами — вдоль дорожек. Посадки размещены с нормативными отступами от них (дерево — не ближе 0,7 м от края дорожки и 4 м от опоры освещения, СП 42.13330.2016, табл. 9.1).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94"/>
        <w:gridCol w:w="3969"/>
        <w:gridCol w:w="1701"/>
        <w:gridCol w:w="3175"/>
      </w:tblGrid>
      <w:tr>
        <w:trPr>
          <w:tblHeader w:val="true"/>
        </w:trPr>
        <w:tc>
          <w:tcPr>
            <w:tcW w:type="dxa" w:w="794"/>
            <w:shd w:val="clear" w:fill="E7E6E6"/>
          </w:tcPr>
          <w:p>
            <w:r>
              <w:rPr>
                <w:b/>
                <w:sz w:val="20"/>
              </w:rPr>
              <w:t>Поз.</w:t>
            </w:r>
          </w:p>
        </w:tc>
        <w:tc>
          <w:tcPr>
            <w:tcW w:type="dxa" w:w="3969"/>
            <w:shd w:val="clear" w:fill="E7E6E6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1701"/>
            <w:shd w:val="clear" w:fill="E7E6E6"/>
          </w:tcPr>
          <w:p>
            <w:r>
              <w:rPr>
                <w:b/>
                <w:sz w:val="20"/>
              </w:rPr>
              <w:t>Кол.</w:t>
            </w:r>
          </w:p>
        </w:tc>
        <w:tc>
          <w:tcPr>
            <w:tcW w:type="dxa" w:w="3175"/>
            <w:shd w:val="clear" w:fill="E7E6E6"/>
          </w:tcPr>
          <w:p>
            <w:r>
              <w:rPr>
                <w:b/>
                <w:sz w:val="20"/>
              </w:rPr>
              <w:t>Примечание</w:t>
            </w:r>
          </w:p>
        </w:tc>
      </w:tr>
      <w:tr>
        <w:tc>
          <w:tcPr>
            <w:tcW w:type="dxa" w:w="79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Дорожка (новая)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484 м²</w:t>
            </w:r>
          </w:p>
        </w:tc>
        <w:tc>
          <w:tcPr>
            <w:tcW w:type="dxa" w:w="3175"/>
          </w:tcPr>
          <w:p>
            <w:r>
              <w:rPr>
                <w:sz w:val="20"/>
              </w:rPr>
              <w:t>ширина 1,5 м</w:t>
            </w:r>
          </w:p>
        </w:tc>
      </w:tr>
      <w:tr>
        <w:tc>
          <w:tcPr>
            <w:tcW w:type="dxa" w:w="79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Фонарь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75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t>5. Проверка соответствия нормам</w:t>
      </w:r>
    </w:p>
    <w:p>
      <w:r>
        <w:t>Все объекты участка повторно проверены на отступы независимо от алгоритма расстановки. Нарушений у новых посадок: 0. Нарушений у существующих объектов: 0.</w:t>
      </w:r>
    </w:p>
    <w:p>
      <w:pPr>
        <w:pStyle w:val="Heading1"/>
      </w:pPr>
      <w:r>
        <w:t>6. Технические требования к посадке</w:t>
      </w:r>
    </w:p>
    <w:p>
      <w:r>
        <w:t>По СП 82.13330.2016 «Благоустройство территорий».</w:t>
      </w:r>
    </w:p>
    <w:p>
      <w:pPr>
        <w:pStyle w:val="ListBullet"/>
      </w:pPr>
      <w:r>
        <w:t>п. 9.6: Ямы для посадки стандартных саженцев и саженцев с комом должны быть глубиной 75 - 90 см, для саженцев со стержневой корневой системой - 80 - 100 см. Стандартные саженцы следует высаживать в ямы диаметром 60 - 80 см. Размер ям для посадки саженцев с комом должен быть на 0,5 м больше наибольшего размера кома.</w:t>
      </w:r>
    </w:p>
    <w:p>
      <w:pPr>
        <w:pStyle w:val="ListBullet"/>
      </w:pPr>
      <w:r>
        <w:t>п. 9.7: Кустарники следует высаживать в ямы и траншеи глубиной 50 см. Для одиночных кустов диаметр ям должен быть 50 см. Ширина траншей под групповые посадки кустарников должна быть 50 см для однорядной посадки с добавлением 20 см на каждый следующий ряд посадки.</w:t>
      </w:r>
    </w:p>
    <w:p>
      <w:pPr>
        <w:pStyle w:val="ListBullet"/>
      </w:pPr>
      <w:r>
        <w:t>п. 9.9: У деревьев и саженцев со стволом диаметром до 5 см на высоте 1,3 м от корневой шейки должен быть ком диаметром или размером стороны не менее 70 см. При увеличении диаметра ствола на каждый 1 см размер диаметра или стороны кома должен быть увеличен на 10 см.</w:t>
      </w:r>
    </w:p>
    <w:p>
      <w:pPr>
        <w:pStyle w:val="ListBullet"/>
      </w:pPr>
      <w:r>
        <w:t>п. 7.3: Ограды в виде живой изгороди должны устраиваться посадкой одного ряда кустарника в заранее подготовленные траншеи шириной и глубиной не менее 50 см. На каждый последующий ряд посадок кустарника ширина траншей должна быть увеличена на 20 см. ... живой изгороди в виде кустарника с максимальной высотой 1,2 м (на участках рекреационного назначения).</w:t>
      </w:r>
    </w:p>
    <w:p>
      <w:pPr>
        <w:pStyle w:val="ListBullet"/>
      </w:pPr>
      <w:r>
        <w:t>п. 9.27: полив при посадке — 20 л на стандартный саженец, 50 л на дерево с комом до 1×1 м, 100 л — с комом 1×1 м и более, 10 л на куст.</w:t>
      </w:r>
    </w:p>
    <w:p>
      <w:pPr>
        <w:pStyle w:val="ListBullet"/>
      </w:pPr>
      <w:r>
        <w:t>п. 9.24: норма высева газонных трав на 1 м² не менее: мятлик луговой и клевер красный — 5 г/м²; овсяница красная — 15 г/м²; рейграс пастбищный, овсяница луговая, костёр безостый — 10 г/м²; тимофеевка луговая и клевер белый — 3 г/м²; полевица белая — 1,5 г/м².</w:t>
      </w:r>
    </w:p>
    <w:p>
      <w:pPr>
        <w:pStyle w:val="ListBullet"/>
      </w:pPr>
      <w:r>
        <w:t>п. 9.27: полив газона — 10 л/м².</w:t>
      </w:r>
    </w:p>
    <w:p>
      <w:pPr>
        <w:pStyle w:val="ListBullet"/>
      </w:pPr>
      <w:r>
        <w:t>п. 9.28: Толщина слоя растительного грунта — не менее 10 см (шурф 30x30 см на каждые 1000 м2).</w:t>
      </w:r>
    </w:p>
    <w:p>
      <w:pPr>
        <w:pStyle w:val="ListBullet"/>
      </w:pPr>
      <w:r>
        <w:t>п. 9.28: Посадочный материал — по проекту или группам взаимозаменяемости (приложение В).</w:t>
      </w:r>
    </w:p>
    <w:p>
      <w:pPr>
        <w:pStyle w:val="ListBullet"/>
      </w:pPr>
      <w:r>
        <w:t>п. 9.28: Паспорта и карантинные свидетельства на посадочный материал.</w:t>
      </w:r>
    </w:p>
    <w:p>
      <w:pPr>
        <w:pStyle w:val="ListBullet"/>
      </w:pPr>
      <w:r>
        <w:t>п. 9.28: Неприжившихся растений — не более 20%, иначе замена.</w:t>
      </w:r>
    </w:p>
    <w:p>
      <w:pPr>
        <w:pStyle w:val="Heading1"/>
      </w:pPr>
      <w:r>
        <w:t>7. Ограничения и допущения</w:t>
      </w:r>
    </w:p>
    <w:p>
      <w:pPr>
        <w:pStyle w:val="ListBullet"/>
      </w:pPr>
      <w:r>
        <w:t>Этап решений по существующим деревьям (сохранить, пересадить, вырубить) и расчёт компенсационной стоимости не выполнялись: в исходных данных нет перечётной ведомости.</w:t>
      </w:r>
    </w:p>
    <w:p>
      <w:pPr>
        <w:pStyle w:val="ListBullet"/>
      </w:pPr>
      <w:r>
        <w:t>Назначение зданий в исходном чертеже не размечено, поэтому отступ 10 м для деревьев с широкой кроной применён ко всем зданиям, а отступ 10 м от школ и детских садов (743-ПП) не применялся.</w:t>
      </w:r>
    </w:p>
    <w:p>
      <w:pPr>
        <w:pStyle w:val="ListBullet"/>
      </w:pPr>
      <w:r>
        <w:t>Не проверялись: инсоляция помещений (СП 42, прим. 3 к табл. 9.1), увеличение отступов для деревьев с кроной более 5 м (прим. 1), свободная высота 2,1 м над пешеходными путями (СП 59.13330.2020, п. 5.1.7).</w:t>
      </w:r>
    </w:p>
    <w:p>
      <w:pPr>
        <w:pStyle w:val="ListBullet"/>
      </w:pPr>
      <w:r>
        <w:t>Отступы от инженерных сетей отсчитаны от края их охранного коридора, а не от оси сети, — то есть с запасом относительно нормы.</w:t>
      </w:r>
    </w:p>
    <w:p>
      <w:pPr>
        <w:pStyle w:val="ListBullet"/>
      </w:pPr>
      <w:r>
        <w:t>Газон допускается над инженерными сетями: таблица 9.1 СП 42.13330 и 3.6.1 ППМ 743-ПП нормируют расстояния только для деревьев и кустарников. Газон исключён с проездов, дорожек, площадок и из клумб кустарника; приствольные лунки деревьев из площади газона не вычитались.</w:t>
      </w:r>
    </w:p>
    <w:p>
      <w:pPr>
        <w:pStyle w:val="ListBullet"/>
      </w:pPr>
      <w:r>
        <w:t>Возраст и параметры посадочного материала в ведомости указаны только для видов базового ассортимента ППМ 515-ПП; для остальных уточняются на стадии рабочей документации.</w:t>
      </w:r>
    </w:p>
    <w:p>
      <w:pPr>
        <w:pStyle w:val="Heading1"/>
      </w:pPr>
      <w:r>
        <w:t>Приложение А. Обоснование решений (текст ИИ — проверить)</w:t>
      </w:r>
    </w:p>
    <w:p>
      <w:r>
        <w:rPr>
          <w:i/>
        </w:rPr>
        <w:t>Текст ниже сформирован языковой моделью по списку решений раздела 3. Модели запрещено добавлять факты, которых нет в этом списке, но перед выпуском текст нужно сверить с разделом 3.</w:t>
      </w:r>
    </w:p>
    <w:p>
      <w:r>
        <w:t>Участок будет оформлен в пейзажном стиле по аналогии с проектом 23_playground_yard_primer.</w:t>
      </w:r>
    </w:p>
    <w:p>
      <w:r>
        <w:t>Вдоль дорожек и проезжей части (36 зон) будет создана живая изгородь — линейная посадка. Этот приём заимствован из проекта 23_playground_yard_primer, где вдоль улицы используется двухрядная изгородь из кизильника. В нашем проекте будут использованы клён остролистный и кизильник блестящий. Виды растений подобраны с учётом ассортимента для озеленения Москвы (категория «дворовые территории»), в приоритете — базовый ассортимент ППМ 515-ПП, при этом исключены инвазивные виды (ППМ 369-ПП).</w:t>
      </w:r>
    </w:p>
    <w:p>
      <w:r>
        <w:t>Вдоль зданий (25 зон) планируется создать кольцо из кустарников вокруг здания. Этот приём также взят из проекта 23_playground_yard_primer, где вдоль фасадов пятиэтажек используется полоса спиреи Вангутта. В нашем случае будут использованы черемуха пенсильванская, жимолость золотистая и смородина золотистая. Выбор растений обусловлен теми же критериями: ассортимент для озеленения Москвы, приоритет базового ассортимента ППМ 515-ПП и исключение инвазивных видов ППМ 369-ПП.</w:t>
      </w:r>
    </w:p>
    <w:p>
      <w:r>
        <w:t>На открытой площади (9 зон) деревья и кустарники будут размещены равномерно и редко, без формирования кластеров. Этот подход аналогичен проекту 23_playground_yard_primer, где детская площадка окружена кольцевой дорожкой и защитной изгородью из неколючей спиреи японской, а тень создают свободно разбросанные по двору деревья. В нашем проекте будут использованы клён остролистный, липа мелколистная, бархат амурский, а также жимолость золотистая, смородина золотистая и кизильник блестящий. Критерии выбора растений те же: ассортимент для озеленения Москвы, приоритет базового ассортимента ППМ 515-ПП, исключение инвазивных видов ППМ 369-ПП.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