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Times New Roman" w:hAnsi="Times New Roman"/>
          <w:b/>
          <w:color w:val="000000"/>
          <w:sz w:val="26"/>
        </w:rPr>
        <w:t>Форма № 1: Інформація для проведення аналізу цін (базова)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4"/>
        </w:rPr>
        <w:t>Заповніть праву колонку таблиці та завантажте збережений файл .docx у власному кабінеті системи «Тендерний помічник» (або заповніть відповідну онлайн-форму безпосередньо на сайті).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bottom w:w="80" w:type="dxa"/>
          <w:left w:w="110" w:type="dxa"/>
          <w:right w:w="110" w:type="dxa"/>
        </w:tblCellMar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Назва поля (реквізит закупівлі)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Значення (заповнюється замовником)</w:t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Найменування замовника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Код ЄДРПОУ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Конкретна назва предмета закупівлі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Код ДК 021:2015 (CPV 2008, IDT)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Очікувана вартість предмета закупівлі (без ПДВ, грн)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Кількість (обсяг закупівлі)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Одиниця виміру (Гкал, шт, послуга тощо)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Ідентифікатор закупівлі в Prozorro (UA-... за наявності)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