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b/>
          <w:color w:val="000000"/>
          <w:sz w:val="28"/>
        </w:rPr>
        <w:t>ОБҐРУНТУВАННЯ</w:t>
      </w:r>
    </w:p>
    <w:p>
      <w:pPr>
        <w:spacing w:before="40" w:after="240" w:line="276" w:lineRule="auto"/>
        <w:jc w:val="center"/>
      </w:pPr>
      <w:r>
        <w:rPr>
          <w:rFonts w:ascii="Times New Roman" w:hAnsi="Times New Roman"/>
          <w:b/>
          <w:color w:val="000000"/>
          <w:sz w:val="26"/>
        </w:rPr>
        <w:t>технічних та якісних характеристик предмета закупівлі, розміру бюджетного призначення, очікуваної вартості предмета закупівлі</w:t>
      </w:r>
    </w:p>
    <w:p>
      <w:pPr>
        <w:keepNext/>
        <w:spacing w:before="240" w:after="80"/>
        <w:ind w:firstLine="0"/>
        <w:jc w:val="left"/>
      </w:pPr>
      <w:r>
        <w:rPr>
          <w:rFonts w:ascii="Times New Roman" w:hAnsi="Times New Roman"/>
          <w:b/>
          <w:color w:val="000000"/>
          <w:sz w:val="26"/>
        </w:rPr>
        <w:t>1. Загальні відомості про замовника та закупівлю</w:t>
      </w:r>
    </w:p>
    <w:p>
      <w:pPr>
        <w:spacing w:before="0" w:after="80" w:line="276" w:lineRule="auto"/>
        <w:ind w:firstLine="709"/>
        <w:jc w:val="both"/>
      </w:pPr>
      <w:r>
        <w:rPr>
          <w:rFonts w:ascii="Times New Roman" w:hAnsi="Times New Roman"/>
          <w:color w:val="000000"/>
          <w:sz w:val="24"/>
        </w:rPr>
        <w:t>Це Обґрунтування складено уповноваженою особою Національного університету кораблебудування імені адмірала Макарова (Шумова Людмила Владиславівна, дата підпису оголошення: 09.10.2026)</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10" w:type="dxa"/>
          <w:right w:w="110" w:type="dxa"/>
        </w:tblCellMar>
      </w:tblPr>
      <w:tblGrid>
        <w:gridCol w:w="4677"/>
        <w:gridCol w:w="4677"/>
      </w:tblGrid>
      <w:tr>
        <w:tc>
          <w:tcPr>
            <w:tcW w:type="dxa" w:w="3515"/>
            <w:vAlign w:val="center"/>
          </w:tcPr>
          <w:p>
            <w:pPr>
              <w:spacing w:after="40"/>
            </w:pPr>
            <w:r>
              <w:rPr>
                <w:rFonts w:ascii="Times New Roman" w:hAnsi="Times New Roman"/>
                <w:b/>
                <w:color w:val="000000"/>
                <w:sz w:val="20"/>
              </w:rPr>
              <w:t>Найменування замовника:</w:t>
            </w:r>
          </w:p>
        </w:tc>
        <w:tc>
          <w:tcPr>
            <w:tcW w:type="dxa" w:w="5839"/>
            <w:vAlign w:val="center"/>
          </w:tcPr>
          <w:p>
            <w:pPr>
              <w:spacing w:after="40"/>
            </w:pPr>
            <w:r>
              <w:rPr>
                <w:rFonts w:ascii="Times New Roman" w:hAnsi="Times New Roman"/>
                <w:color w:val="000000"/>
                <w:sz w:val="20"/>
              </w:rPr>
              <w:t>НАЦІОНАЛЬНИЙ УНІВЕРСИТЕТ КОРАБЛЕБУДУВАННЯ ІМЕНІ АДМІРАЛА МАКАРОВА</w:t>
            </w:r>
          </w:p>
        </w:tc>
      </w:tr>
      <w:tr>
        <w:tc>
          <w:tcPr>
            <w:tcW w:type="dxa" w:w="3515"/>
            <w:vAlign w:val="center"/>
          </w:tcPr>
          <w:p>
            <w:pPr>
              <w:spacing w:after="40"/>
            </w:pPr>
            <w:r>
              <w:rPr>
                <w:rFonts w:ascii="Times New Roman" w:hAnsi="Times New Roman"/>
                <w:b/>
                <w:color w:val="000000"/>
                <w:sz w:val="20"/>
              </w:rPr>
              <w:t>Ідентифікаційний код замовника в ЄДР:</w:t>
            </w:r>
          </w:p>
        </w:tc>
        <w:tc>
          <w:tcPr>
            <w:tcW w:type="dxa" w:w="5839"/>
            <w:vAlign w:val="center"/>
          </w:tcPr>
          <w:p>
            <w:pPr>
              <w:spacing w:after="40"/>
            </w:pPr>
            <w:r>
              <w:rPr>
                <w:rFonts w:ascii="Times New Roman" w:hAnsi="Times New Roman"/>
                <w:color w:val="000000"/>
                <w:sz w:val="20"/>
              </w:rPr>
              <w:t>02066753</w:t>
            </w:r>
          </w:p>
        </w:tc>
      </w:tr>
      <w:tr>
        <w:tc>
          <w:tcPr>
            <w:tcW w:type="dxa" w:w="3515"/>
            <w:vAlign w:val="center"/>
          </w:tcPr>
          <w:p>
            <w:pPr>
              <w:spacing w:after="40"/>
            </w:pPr>
            <w:r>
              <w:rPr>
                <w:rFonts w:ascii="Times New Roman" w:hAnsi="Times New Roman"/>
                <w:b/>
                <w:color w:val="000000"/>
                <w:sz w:val="20"/>
              </w:rPr>
              <w:t>Вид та назва предмета закупівлі:</w:t>
            </w:r>
          </w:p>
        </w:tc>
        <w:tc>
          <w:tcPr>
            <w:tcW w:type="dxa" w:w="5839"/>
            <w:vAlign w:val="center"/>
          </w:tcPr>
          <w:p>
            <w:pPr>
              <w:spacing w:after="40"/>
            </w:pPr>
            <w:r>
              <w:rPr>
                <w:rFonts w:ascii="Times New Roman" w:hAnsi="Times New Roman"/>
                <w:color w:val="000000"/>
                <w:sz w:val="20"/>
              </w:rPr>
              <w:t>Товари — Теплова енергія (Лот 1 — Теплова енергія)</w:t>
            </w:r>
          </w:p>
        </w:tc>
      </w:tr>
      <w:tr>
        <w:tc>
          <w:tcPr>
            <w:tcW w:type="dxa" w:w="3515"/>
            <w:vAlign w:val="center"/>
          </w:tcPr>
          <w:p>
            <w:pPr>
              <w:spacing w:after="40"/>
            </w:pPr>
            <w:r>
              <w:rPr>
                <w:rFonts w:ascii="Times New Roman" w:hAnsi="Times New Roman"/>
                <w:b/>
                <w:color w:val="000000"/>
                <w:sz w:val="20"/>
              </w:rPr>
              <w:t>Код за Єдиним закупівельним словником:</w:t>
            </w:r>
          </w:p>
        </w:tc>
        <w:tc>
          <w:tcPr>
            <w:tcW w:type="dxa" w:w="5839"/>
            <w:vAlign w:val="center"/>
          </w:tcPr>
          <w:p>
            <w:pPr>
              <w:spacing w:after="40"/>
            </w:pPr>
            <w:r>
              <w:rPr>
                <w:rFonts w:ascii="Times New Roman" w:hAnsi="Times New Roman"/>
                <w:color w:val="000000"/>
                <w:sz w:val="20"/>
              </w:rPr>
              <w:t>ДК 021:2015: 09320000-8 — Пара, гаряча вода та пов’язана продукція</w:t>
            </w:r>
          </w:p>
        </w:tc>
      </w:tr>
      <w:tr>
        <w:tc>
          <w:tcPr>
            <w:tcW w:type="dxa" w:w="3515"/>
            <w:vAlign w:val="center"/>
          </w:tcPr>
          <w:p>
            <w:pPr>
              <w:spacing w:after="40"/>
            </w:pPr>
            <w:r>
              <w:rPr>
                <w:rFonts w:ascii="Times New Roman" w:hAnsi="Times New Roman"/>
                <w:b/>
                <w:color w:val="000000"/>
                <w:sz w:val="20"/>
              </w:rPr>
              <w:t>Кількість товарів:</w:t>
            </w:r>
          </w:p>
        </w:tc>
        <w:tc>
          <w:tcPr>
            <w:tcW w:type="dxa" w:w="5839"/>
            <w:vAlign w:val="center"/>
          </w:tcPr>
          <w:p>
            <w:pPr>
              <w:spacing w:after="40"/>
            </w:pPr>
            <w:r>
              <w:rPr>
                <w:rFonts w:ascii="Times New Roman" w:hAnsi="Times New Roman"/>
                <w:color w:val="000000"/>
                <w:sz w:val="20"/>
              </w:rPr>
              <w:t>1 800 гігакалорія (Гкал)</w:t>
            </w:r>
          </w:p>
        </w:tc>
      </w:tr>
      <w:tr>
        <w:tc>
          <w:tcPr>
            <w:tcW w:type="dxa" w:w="3515"/>
            <w:vAlign w:val="center"/>
          </w:tcPr>
          <w:p>
            <w:pPr>
              <w:spacing w:after="40"/>
            </w:pPr>
            <w:r>
              <w:rPr>
                <w:rFonts w:ascii="Times New Roman" w:hAnsi="Times New Roman"/>
                <w:b/>
                <w:color w:val="000000"/>
                <w:sz w:val="20"/>
              </w:rPr>
              <w:t>Очікувана вартість предмета закупівлі:</w:t>
            </w:r>
          </w:p>
        </w:tc>
        <w:tc>
          <w:tcPr>
            <w:tcW w:type="dxa" w:w="5839"/>
            <w:vAlign w:val="center"/>
          </w:tcPr>
          <w:p>
            <w:pPr>
              <w:spacing w:after="40"/>
            </w:pPr>
            <w:r>
              <w:rPr>
                <w:rFonts w:ascii="Times New Roman" w:hAnsi="Times New Roman"/>
                <w:color w:val="000000"/>
                <w:sz w:val="20"/>
              </w:rPr>
              <w:t>9 875 000,00 грн без ПДВ</w:t>
            </w:r>
          </w:p>
        </w:tc>
      </w:tr>
    </w:tbl>
    <w:p>
      <w:pPr>
        <w:spacing w:after="80"/>
      </w:pPr>
    </w:p>
    <w:p>
      <w:pPr>
        <w:keepNext/>
        <w:spacing w:before="240" w:after="80"/>
        <w:ind w:firstLine="0"/>
        <w:jc w:val="left"/>
      </w:pPr>
      <w:r>
        <w:rPr>
          <w:rFonts w:ascii="Times New Roman" w:hAnsi="Times New Roman"/>
          <w:b/>
          <w:color w:val="000000"/>
          <w:sz w:val="26"/>
        </w:rPr>
        <w:t>2. Обґрунтування технічних та якісних характеристик предмета закупівлі</w:t>
      </w:r>
    </w:p>
    <w:p>
      <w:pPr>
        <w:spacing w:before="0" w:after="80" w:line="276" w:lineRule="auto"/>
        <w:ind w:firstLine="709"/>
        <w:jc w:val="both"/>
      </w:pPr>
      <w:r>
        <w:rPr>
          <w:rFonts w:ascii="Times New Roman" w:hAnsi="Times New Roman"/>
          <w:color w:val="000000"/>
          <w:sz w:val="24"/>
        </w:rPr>
        <w:t>Технічні та якісні характеристики предмета закупівлі розроблені відповідно до статті 23 Закону України «Про публічні закупівлі» з урахуванням положень пункту 28 Особливостей № 1178 та оголошення про проведення відкритих торгів UA-2026-10-09-013480-a. Вид предмета закупівлі: товари. Назва номенклатурної позиції: Теплова енергія (код згідно з Єдиним закупівельним словником ДК 021:2015: 09320000-8 — Пара, гаряча вода та пов’язана продукція). Загальний обсяг постачання становить 1 800 гігакалорій (Гкал).</w:t>
      </w:r>
    </w:p>
    <w:p>
      <w:pPr>
        <w:spacing w:before="0" w:after="80" w:line="276" w:lineRule="auto"/>
        <w:ind w:firstLine="709"/>
        <w:jc w:val="both"/>
      </w:pPr>
      <w:r>
        <w:rPr>
          <w:rFonts w:ascii="Times New Roman" w:hAnsi="Times New Roman"/>
          <w:color w:val="000000"/>
          <w:sz w:val="24"/>
        </w:rPr>
        <w:t>Вимоги до технічних параметрів і якості теплоносія:</w:t>
        <w:br/>
        <w:t>1. Параметри теплоносія: Температура мережної води в подавальному трубопроводі на межі балансової належності має відповідати затвердженому температурному графіку централізованого опалення для відповідної середньодобової температури зовнішнього повітря.</w:t>
        <w:br/>
        <w:t>2. Гідравлічний режим: Робочий тиск на вводі повинен забезпечувати стабільну циркуляцію теплоносія у внутрішньобудинкових системах об'єктів університету відповідно до будівельних і санітарних норм.</w:t>
        <w:br/>
        <w:t>3. Якість теплоносія: Фізико-хімічні показники теплоносія повинні відповідати Правилам технічної експлуатації теплових установок і мереж.</w:t>
        <w:br/>
        <w:t>4. Режим поставки та розрахунків: Відповідно до умов оголошення здійснюється повторювана поставка за заявкою замовника (період: 61 календарний день) на умовах післяоплати 100% протягом 30 робочих днів після поставки товару.</w:t>
        <w:br/>
        <w:t>5. Комерційний облік: Обсяг фактично спожитої теплової енергії (у Гкал) визначається на підставі показників приладів комерційного обліку відповідно до Закону України «Про комерційний облік теплової енергії та водопостачання».</w:t>
      </w:r>
    </w:p>
    <w:p>
      <w:pPr>
        <w:spacing w:before="0" w:after="80" w:line="276" w:lineRule="auto"/>
        <w:ind w:firstLine="709"/>
        <w:jc w:val="both"/>
      </w:pPr>
      <w:r>
        <w:rPr>
          <w:rFonts w:ascii="Times New Roman" w:hAnsi="Times New Roman"/>
          <w:color w:val="000000"/>
          <w:sz w:val="24"/>
        </w:rPr>
        <w:t>Відповідно до оголошення про проведення відкритих торгів UA-2026-10-09-013480-a місце поставки товарів охоплює 9 локацій замовника у м. Миколаєві (загальний обсяг за лотом № 1 становить 1 800 Гкал):</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5" w:type="dxa"/>
          <w:bottom w:w="65" w:type="dxa"/>
          <w:left w:w="100" w:type="dxa"/>
          <w:right w:w="100" w:type="dxa"/>
        </w:tblCellMar>
      </w:tblPr>
      <w:tblGrid>
        <w:gridCol w:w="4677"/>
        <w:gridCol w:w="4677"/>
      </w:tblGrid>
      <w:tr>
        <w:tc>
          <w:tcPr>
            <w:tcW w:type="dxa" w:w="850"/>
            <w:vAlign w:val="center"/>
          </w:tcPr>
          <w:p>
            <w:pPr>
              <w:spacing w:after="40"/>
              <w:jc w:val="center"/>
            </w:pPr>
            <w:r>
              <w:rPr>
                <w:rFonts w:ascii="Times New Roman" w:hAnsi="Times New Roman"/>
                <w:b/>
                <w:color w:val="000000"/>
                <w:sz w:val="20"/>
              </w:rPr>
              <w:t>№ з/п</w:t>
            </w:r>
          </w:p>
        </w:tc>
        <w:tc>
          <w:tcPr>
            <w:tcW w:type="dxa" w:w="8504"/>
            <w:vAlign w:val="center"/>
          </w:tcPr>
          <w:p>
            <w:pPr>
              <w:spacing w:after="40"/>
              <w:jc w:val="center"/>
            </w:pPr>
            <w:r>
              <w:rPr>
                <w:rFonts w:ascii="Times New Roman" w:hAnsi="Times New Roman"/>
                <w:b/>
                <w:color w:val="000000"/>
                <w:sz w:val="20"/>
              </w:rPr>
              <w:t>Місце поставки товарів (згідно з оголошенням UA-2026-10-09-013480-a)</w:t>
            </w:r>
          </w:p>
        </w:tc>
      </w:tr>
      <w:tr>
        <w:tc>
          <w:tcPr>
            <w:tcW w:type="dxa" w:w="850"/>
            <w:vAlign w:val="center"/>
          </w:tcPr>
          <w:p>
            <w:pPr>
              <w:jc w:val="center"/>
            </w:pPr>
            <w:r>
              <w:rPr>
                <w:rFonts w:ascii="Times New Roman" w:hAnsi="Times New Roman"/>
                <w:color w:val="000000"/>
                <w:sz w:val="20"/>
              </w:rPr>
              <w:t>1</w:t>
            </w:r>
          </w:p>
        </w:tc>
        <w:tc>
          <w:tcPr>
            <w:tcW w:type="dxa" w:w="8504"/>
            <w:vAlign w:val="center"/>
          </w:tcPr>
          <w:p>
            <w:r>
              <w:rPr>
                <w:rFonts w:ascii="Times New Roman" w:hAnsi="Times New Roman"/>
                <w:color w:val="000000"/>
                <w:sz w:val="20"/>
              </w:rPr>
              <w:t>54007, Україна, Миколаївська область, м. Миколаїв, вул. Ковальська, 5</w:t>
            </w:r>
          </w:p>
        </w:tc>
      </w:tr>
      <w:tr>
        <w:tc>
          <w:tcPr>
            <w:tcW w:type="dxa" w:w="850"/>
            <w:vAlign w:val="center"/>
          </w:tcPr>
          <w:p>
            <w:pPr>
              <w:jc w:val="center"/>
            </w:pPr>
            <w:r>
              <w:rPr>
                <w:rFonts w:ascii="Times New Roman" w:hAnsi="Times New Roman"/>
                <w:color w:val="000000"/>
                <w:sz w:val="20"/>
              </w:rPr>
              <w:t>2</w:t>
            </w:r>
          </w:p>
        </w:tc>
        <w:tc>
          <w:tcPr>
            <w:tcW w:type="dxa" w:w="8504"/>
            <w:vAlign w:val="center"/>
          </w:tcPr>
          <w:p>
            <w:r>
              <w:rPr>
                <w:rFonts w:ascii="Times New Roman" w:hAnsi="Times New Roman"/>
                <w:color w:val="000000"/>
                <w:sz w:val="20"/>
              </w:rPr>
              <w:t>54007, Україна, Миколаївська область, м. Миколаїв, вул. Марка Кропивницького, 138а</w:t>
            </w:r>
          </w:p>
        </w:tc>
      </w:tr>
      <w:tr>
        <w:tc>
          <w:tcPr>
            <w:tcW w:type="dxa" w:w="850"/>
            <w:vAlign w:val="center"/>
          </w:tcPr>
          <w:p>
            <w:pPr>
              <w:jc w:val="center"/>
            </w:pPr>
            <w:r>
              <w:rPr>
                <w:rFonts w:ascii="Times New Roman" w:hAnsi="Times New Roman"/>
                <w:color w:val="000000"/>
                <w:sz w:val="20"/>
              </w:rPr>
              <w:t>3</w:t>
            </w:r>
          </w:p>
        </w:tc>
        <w:tc>
          <w:tcPr>
            <w:tcW w:type="dxa" w:w="8504"/>
            <w:vAlign w:val="center"/>
          </w:tcPr>
          <w:p>
            <w:r>
              <w:rPr>
                <w:rFonts w:ascii="Times New Roman" w:hAnsi="Times New Roman"/>
                <w:color w:val="000000"/>
                <w:sz w:val="20"/>
              </w:rPr>
              <w:t>54007, Україна, Миколаївська область, м. Миколаїв, вул. Морехідна, 2</w:t>
            </w:r>
          </w:p>
        </w:tc>
      </w:tr>
      <w:tr>
        <w:tc>
          <w:tcPr>
            <w:tcW w:type="dxa" w:w="850"/>
            <w:vAlign w:val="center"/>
          </w:tcPr>
          <w:p>
            <w:pPr>
              <w:jc w:val="center"/>
            </w:pPr>
            <w:r>
              <w:rPr>
                <w:rFonts w:ascii="Times New Roman" w:hAnsi="Times New Roman"/>
                <w:color w:val="000000"/>
                <w:sz w:val="20"/>
              </w:rPr>
              <w:t>4</w:t>
            </w:r>
          </w:p>
        </w:tc>
        <w:tc>
          <w:tcPr>
            <w:tcW w:type="dxa" w:w="8504"/>
            <w:vAlign w:val="center"/>
          </w:tcPr>
          <w:p>
            <w:r>
              <w:rPr>
                <w:rFonts w:ascii="Times New Roman" w:hAnsi="Times New Roman"/>
                <w:color w:val="000000"/>
                <w:sz w:val="20"/>
              </w:rPr>
              <w:t>54007, Україна, Миколаївська область, м. Миколаїв, проспект Героїв України, 9</w:t>
            </w:r>
          </w:p>
        </w:tc>
      </w:tr>
      <w:tr>
        <w:tc>
          <w:tcPr>
            <w:tcW w:type="dxa" w:w="850"/>
            <w:vAlign w:val="center"/>
          </w:tcPr>
          <w:p>
            <w:pPr>
              <w:jc w:val="center"/>
            </w:pPr>
            <w:r>
              <w:rPr>
                <w:rFonts w:ascii="Times New Roman" w:hAnsi="Times New Roman"/>
                <w:color w:val="000000"/>
                <w:sz w:val="20"/>
              </w:rPr>
              <w:t>5</w:t>
            </w:r>
          </w:p>
        </w:tc>
        <w:tc>
          <w:tcPr>
            <w:tcW w:type="dxa" w:w="8504"/>
            <w:vAlign w:val="center"/>
          </w:tcPr>
          <w:p>
            <w:r>
              <w:rPr>
                <w:rFonts w:ascii="Times New Roman" w:hAnsi="Times New Roman"/>
                <w:color w:val="000000"/>
                <w:sz w:val="20"/>
              </w:rPr>
              <w:t>54007, Україна, Миколаївська область, м. Миколаїв, вул. Бузника, 5</w:t>
            </w:r>
          </w:p>
        </w:tc>
      </w:tr>
      <w:tr>
        <w:tc>
          <w:tcPr>
            <w:tcW w:type="dxa" w:w="850"/>
            <w:vAlign w:val="center"/>
          </w:tcPr>
          <w:p>
            <w:pPr>
              <w:jc w:val="center"/>
            </w:pPr>
            <w:r>
              <w:rPr>
                <w:rFonts w:ascii="Times New Roman" w:hAnsi="Times New Roman"/>
                <w:color w:val="000000"/>
                <w:sz w:val="20"/>
              </w:rPr>
              <w:t>6</w:t>
            </w:r>
          </w:p>
        </w:tc>
        <w:tc>
          <w:tcPr>
            <w:tcW w:type="dxa" w:w="8504"/>
            <w:vAlign w:val="center"/>
          </w:tcPr>
          <w:p>
            <w:r>
              <w:rPr>
                <w:rFonts w:ascii="Times New Roman" w:hAnsi="Times New Roman"/>
                <w:color w:val="000000"/>
                <w:sz w:val="20"/>
              </w:rPr>
              <w:t>54007, Україна, Миколаївська область, м. Миколаїв, вул. Бузника, 5</w:t>
            </w:r>
          </w:p>
        </w:tc>
      </w:tr>
      <w:tr>
        <w:tc>
          <w:tcPr>
            <w:tcW w:type="dxa" w:w="850"/>
            <w:vAlign w:val="center"/>
          </w:tcPr>
          <w:p>
            <w:pPr>
              <w:jc w:val="center"/>
            </w:pPr>
            <w:r>
              <w:rPr>
                <w:rFonts w:ascii="Times New Roman" w:hAnsi="Times New Roman"/>
                <w:color w:val="000000"/>
                <w:sz w:val="20"/>
              </w:rPr>
              <w:t>7</w:t>
            </w:r>
          </w:p>
        </w:tc>
        <w:tc>
          <w:tcPr>
            <w:tcW w:type="dxa" w:w="8504"/>
            <w:vAlign w:val="center"/>
          </w:tcPr>
          <w:p>
            <w:r>
              <w:rPr>
                <w:rFonts w:ascii="Times New Roman" w:hAnsi="Times New Roman"/>
                <w:color w:val="000000"/>
                <w:sz w:val="20"/>
              </w:rPr>
              <w:t>54007, Україна, Миколаївська область, м. Миколаїв, проспект Героїв України, 11</w:t>
            </w:r>
          </w:p>
        </w:tc>
      </w:tr>
      <w:tr>
        <w:tc>
          <w:tcPr>
            <w:tcW w:type="dxa" w:w="850"/>
            <w:vAlign w:val="center"/>
          </w:tcPr>
          <w:p>
            <w:pPr>
              <w:jc w:val="center"/>
            </w:pPr>
            <w:r>
              <w:rPr>
                <w:rFonts w:ascii="Times New Roman" w:hAnsi="Times New Roman"/>
                <w:color w:val="000000"/>
                <w:sz w:val="20"/>
              </w:rPr>
              <w:t>8</w:t>
            </w:r>
          </w:p>
        </w:tc>
        <w:tc>
          <w:tcPr>
            <w:tcW w:type="dxa" w:w="8504"/>
            <w:vAlign w:val="center"/>
          </w:tcPr>
          <w:p>
            <w:r>
              <w:rPr>
                <w:rFonts w:ascii="Times New Roman" w:hAnsi="Times New Roman"/>
                <w:color w:val="000000"/>
                <w:sz w:val="20"/>
              </w:rPr>
              <w:t>54007, Україна, Миколаївська область, м. Миколаїв, вул. Бузника, 3</w:t>
            </w:r>
          </w:p>
        </w:tc>
      </w:tr>
      <w:tr>
        <w:tc>
          <w:tcPr>
            <w:tcW w:type="dxa" w:w="850"/>
            <w:vAlign w:val="center"/>
          </w:tcPr>
          <w:p>
            <w:pPr>
              <w:jc w:val="center"/>
            </w:pPr>
            <w:r>
              <w:rPr>
                <w:rFonts w:ascii="Times New Roman" w:hAnsi="Times New Roman"/>
                <w:color w:val="000000"/>
                <w:sz w:val="20"/>
              </w:rPr>
              <w:t>9</w:t>
            </w:r>
          </w:p>
        </w:tc>
        <w:tc>
          <w:tcPr>
            <w:tcW w:type="dxa" w:w="8504"/>
            <w:vAlign w:val="center"/>
          </w:tcPr>
          <w:p>
            <w:r>
              <w:rPr>
                <w:rFonts w:ascii="Times New Roman" w:hAnsi="Times New Roman"/>
                <w:color w:val="000000"/>
                <w:sz w:val="20"/>
              </w:rPr>
              <w:t>54007, Україна, Миколаївська область, м. Миколаїв, вул. Колодязна, 21</w:t>
            </w:r>
          </w:p>
        </w:tc>
      </w:tr>
    </w:tbl>
    <w:p>
      <w:pPr>
        <w:spacing w:after="80"/>
      </w:pPr>
    </w:p>
    <w:p>
      <w:pPr>
        <w:keepNext/>
        <w:spacing w:before="240" w:after="80"/>
        <w:ind w:firstLine="0"/>
        <w:jc w:val="left"/>
      </w:pPr>
      <w:r>
        <w:rPr>
          <w:rFonts w:ascii="Times New Roman" w:hAnsi="Times New Roman"/>
          <w:b/>
          <w:color w:val="000000"/>
          <w:sz w:val="26"/>
        </w:rPr>
        <w:t>3. Обґрунтування розміру бюджетного призначення</w:t>
      </w:r>
    </w:p>
    <w:p>
      <w:pPr>
        <w:spacing w:before="0" w:after="80" w:line="276" w:lineRule="auto"/>
        <w:ind w:firstLine="709"/>
        <w:jc w:val="both"/>
      </w:pPr>
      <w:r>
        <w:rPr>
          <w:rFonts w:ascii="Times New Roman" w:hAnsi="Times New Roman"/>
          <w:color w:val="000000"/>
          <w:sz w:val="24"/>
        </w:rPr>
        <w:t>Розмір бюджетного призначення визначено відповідно до Бюджетного кодексу України, Закону України «Про Державний бюджет України на 2026 рік» та кошторису Національного університету кораблебудування імені адмірала Макарова на 2026 рік. Відповідно до річного плану закупівель (ідентифікатор плану: 949d3328d8834c33842e25e0ad1c806f) та оголошення про проведення відкритих торгів UA-2026-10-09-013480-a розмір бюджетного призначення за КЕКВ 2271 «Оплата теплопостачання» на закупівлю 1 800 гігакалорій теплової енергії становить 9 875 000,00 грн (дев'ять мільйонів вісімсот сімдесят п'ять тисяч гривень 00 копійок) без ПДВ.</w:t>
      </w:r>
    </w:p>
    <w:p>
      <w:pPr>
        <w:keepNext/>
        <w:spacing w:before="240" w:after="80"/>
        <w:ind w:firstLine="0"/>
        <w:jc w:val="left"/>
      </w:pPr>
      <w:r>
        <w:rPr>
          <w:rFonts w:ascii="Times New Roman" w:hAnsi="Times New Roman"/>
          <w:b/>
          <w:color w:val="000000"/>
          <w:sz w:val="26"/>
        </w:rPr>
        <w:t>4. Обґрунтування очікуваної вартості предмета закупівлі</w:t>
      </w:r>
    </w:p>
    <w:p>
      <w:pPr>
        <w:spacing w:before="0" w:after="80" w:line="276" w:lineRule="auto"/>
        <w:ind w:firstLine="709"/>
        <w:jc w:val="both"/>
      </w:pPr>
      <w:r>
        <w:rPr>
          <w:rFonts w:ascii="Times New Roman" w:hAnsi="Times New Roman"/>
          <w:color w:val="000000"/>
          <w:sz w:val="24"/>
        </w:rPr>
        <w:t>Розрахунок очікуваної вартості предмета закупівлі здійснено уповноваженою особою відповідно до Примірної методики визначення очікуваної вартості предмета закупівлі, затвердженої наказом Міністерства розвитку економіки, торгівлі та сільського господарства України від 25.03.2020 № 275, на підставі аналізу цін (без ПДВ) реальних закупівель теплової енергії в системі Prozorro та діючих тарифів на теплову енергію у м. Миколаєві на 2026 рік.</w:t>
      </w:r>
    </w:p>
    <w:p>
      <w:pPr>
        <w:spacing w:before="0" w:after="80" w:line="276" w:lineRule="auto"/>
        <w:ind w:firstLine="709"/>
        <w:jc w:val="both"/>
      </w:pPr>
      <w:r>
        <w:rPr>
          <w:rFonts w:ascii="Times New Roman" w:hAnsi="Times New Roman"/>
          <w:color w:val="000000"/>
          <w:sz w:val="24"/>
        </w:rPr>
        <w:t>Загальна очікувана вартість закупівлі обсягом 1 800 Гкал становить:</w:t>
        <w:br/>
        <w:t>ОВ = 1 800 Гкал × 5 486,1111 грн (без ПДВ) = 9 875 000,00 грн без ПДВ.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20" w:type="dxa"/>
          <w:right w:w="120" w:type="dxa"/>
        </w:tblCellMar>
      </w:tblPr>
      <w:tblGrid>
        <w:gridCol w:w="4677"/>
        <w:gridCol w:w="4677"/>
      </w:tblGrid>
      <w:tr>
        <w:tc>
          <w:tcPr>
            <w:tcW w:type="dxa" w:w="5953"/>
            <w:vAlign w:val="center"/>
          </w:tcPr>
          <w:p>
            <w:pPr>
              <w:spacing w:after="40"/>
            </w:pPr>
            <w:r>
              <w:rPr>
                <w:rFonts w:ascii="Times New Roman" w:hAnsi="Times New Roman"/>
                <w:color w:val="000000"/>
                <w:sz w:val="20"/>
              </w:rPr>
              <w:t>Кількість товарів (плановий обсяг закупівлі за Лотом 1):</w:t>
            </w:r>
          </w:p>
        </w:tc>
        <w:tc>
          <w:tcPr>
            <w:tcW w:type="dxa" w:w="3402"/>
            <w:vAlign w:val="center"/>
          </w:tcPr>
          <w:p>
            <w:pPr>
              <w:spacing w:after="40"/>
              <w:jc w:val="right"/>
            </w:pPr>
            <w:r>
              <w:rPr>
                <w:rFonts w:ascii="Times New Roman" w:hAnsi="Times New Roman"/>
                <w:color w:val="000000"/>
                <w:sz w:val="20"/>
              </w:rPr>
              <w:t>1 800,00 гігакалорія (Гкал)</w:t>
            </w:r>
          </w:p>
        </w:tc>
      </w:tr>
      <w:tr>
        <w:tc>
          <w:tcPr>
            <w:tcW w:type="dxa" w:w="5953"/>
            <w:vAlign w:val="center"/>
          </w:tcPr>
          <w:p>
            <w:pPr>
              <w:spacing w:after="40"/>
            </w:pPr>
            <w:r>
              <w:rPr>
                <w:rFonts w:ascii="Times New Roman" w:hAnsi="Times New Roman"/>
                <w:color w:val="000000"/>
                <w:sz w:val="20"/>
              </w:rPr>
              <w:t>Розрахункова ціна за одиницю товару (1 Гкал) без ПДВ:</w:t>
            </w:r>
          </w:p>
        </w:tc>
        <w:tc>
          <w:tcPr>
            <w:tcW w:type="dxa" w:w="3402"/>
            <w:vAlign w:val="center"/>
          </w:tcPr>
          <w:p>
            <w:pPr>
              <w:spacing w:after="40"/>
              <w:jc w:val="right"/>
            </w:pPr>
            <w:r>
              <w:rPr>
                <w:rFonts w:ascii="Times New Roman" w:hAnsi="Times New Roman"/>
                <w:color w:val="000000"/>
                <w:sz w:val="20"/>
              </w:rPr>
              <w:t>5 486,11 грн без ПДВ</w:t>
            </w:r>
          </w:p>
        </w:tc>
      </w:tr>
      <w:tr>
        <w:tc>
          <w:tcPr>
            <w:tcW w:type="dxa" w:w="5953"/>
            <w:vAlign w:val="center"/>
          </w:tcPr>
          <w:p>
            <w:pPr>
              <w:spacing w:after="40"/>
            </w:pPr>
            <w:r>
              <w:rPr>
                <w:rFonts w:ascii="Times New Roman" w:hAnsi="Times New Roman"/>
                <w:b/>
                <w:color w:val="000000"/>
                <w:sz w:val="20"/>
              </w:rPr>
              <w:t>ОЧІКУВАНА ВАРТІСТЬ ПРЕДМЕТА ЗАКУПІВЛІ (БЕЗ ПДВ):</w:t>
            </w:r>
          </w:p>
        </w:tc>
        <w:tc>
          <w:tcPr>
            <w:tcW w:type="dxa" w:w="3402"/>
            <w:vAlign w:val="center"/>
          </w:tcPr>
          <w:p>
            <w:pPr>
              <w:spacing w:after="40"/>
              <w:jc w:val="right"/>
            </w:pPr>
            <w:r>
              <w:rPr>
                <w:rFonts w:ascii="Times New Roman" w:hAnsi="Times New Roman"/>
                <w:b/>
                <w:color w:val="000000"/>
                <w:sz w:val="22"/>
              </w:rPr>
              <w:t>9 875 000,00 грн без ПДВ</w:t>
            </w:r>
          </w:p>
        </w:tc>
      </w:tr>
    </w:tbl>
    <w:p>
      <w:pPr>
        <w:spacing w:before="320" w:after="80"/>
      </w:pPr>
    </w:p>
    <w:tbl>
      <w:tblPr>
        <w:tblW w:type="auto" w:w="0"/>
        <w:jc w:val="center"/>
        <w:tblLayout w:type="fixed"/>
        <w:tblLook w:firstColumn="1" w:firstRow="1" w:lastColumn="0" w:lastRow="0" w:noHBand="0" w:noVBand="1" w:val="04A0"/>
        <w:tblCellMar>
          <w:top w:w="60" w:type="dxa"/>
          <w:bottom w:w="60" w:type="dxa"/>
          <w:left w:w="60" w:type="dxa"/>
          <w:right w:w="60" w:type="dxa"/>
        </w:tblCellMar>
      </w:tblPr>
      <w:tblGrid>
        <w:gridCol w:w="4677"/>
        <w:gridCol w:w="4677"/>
      </w:tblGrid>
      <w:tr>
        <w:tc>
          <w:tcPr>
            <w:tcW w:type="dxa" w:w="5669"/>
          </w:tcPr>
          <w:p>
            <w:pPr>
              <w:spacing w:line="276" w:lineRule="auto"/>
            </w:pPr>
            <w:r>
              <w:rPr>
                <w:rFonts w:ascii="Times New Roman" w:hAnsi="Times New Roman"/>
                <w:b/>
                <w:color w:val="000000"/>
                <w:sz w:val="22"/>
              </w:rPr>
              <w:t>Уповноважена особа з публічних закупівель</w:t>
              <w:br/>
              <w:t>Національного університету кораблебудування</w:t>
              <w:br/>
              <w:t>імені адмірала Макарова</w:t>
            </w:r>
          </w:p>
        </w:tc>
        <w:tc>
          <w:tcPr>
            <w:tcW w:type="dxa" w:w="3685"/>
          </w:tcPr>
          <w:p>
            <w:pPr>
              <w:spacing w:line="276" w:lineRule="auto"/>
              <w:jc w:val="right"/>
            </w:pPr>
            <w:r>
              <w:rPr>
                <w:rFonts w:ascii="Times New Roman" w:hAnsi="Times New Roman"/>
                <w:b/>
                <w:color w:val="000000"/>
                <w:sz w:val="22"/>
              </w:rPr>
              <w:br/>
              <w:br/>
              <w:t>___________ Людмила ШУМОВА</w:t>
              <w:br/>
              <w:t>«09» жовтня 2026 року</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