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009" w:rsidRDefault="001F0009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r w:rsidRPr="001F0009">
        <w:rPr>
          <w:sz w:val="48"/>
          <w:szCs w:val="48"/>
        </w:rPr>
        <w:t>Инструкция по и</w:t>
      </w:r>
      <w:bookmarkStart w:id="0" w:name="_GoBack"/>
      <w:bookmarkEnd w:id="0"/>
      <w:r w:rsidRPr="001F0009">
        <w:rPr>
          <w:sz w:val="48"/>
          <w:szCs w:val="48"/>
        </w:rPr>
        <w:t xml:space="preserve">спользованию </w:t>
      </w:r>
    </w:p>
    <w:p w:rsidR="001767F7" w:rsidRDefault="001F0009">
      <w:pPr>
        <w:rPr>
          <w:sz w:val="48"/>
          <w:szCs w:val="48"/>
        </w:rPr>
      </w:pPr>
      <w:r>
        <w:rPr>
          <w:sz w:val="48"/>
          <w:szCs w:val="48"/>
        </w:rPr>
        <w:t xml:space="preserve">              </w:t>
      </w:r>
      <w:r w:rsidRPr="001F0009">
        <w:rPr>
          <w:sz w:val="48"/>
          <w:szCs w:val="48"/>
        </w:rPr>
        <w:t>программного продукта</w:t>
      </w:r>
    </w:p>
    <w:p w:rsidR="001F0009" w:rsidRDefault="001F0009">
      <w:pPr>
        <w:rPr>
          <w:sz w:val="48"/>
          <w:szCs w:val="48"/>
        </w:rPr>
      </w:pPr>
    </w:p>
    <w:p w:rsidR="001F0009" w:rsidRPr="001F0009" w:rsidRDefault="001F0009" w:rsidP="001F00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На рис. 5.2.1 изображена стартовая страница социальной сети, с которой можно авторизоваться или зарегистрироваться.</w:t>
      </w:r>
    </w:p>
    <w:p w:rsidR="001F0009" w:rsidRDefault="001F0009">
      <w:pPr>
        <w:rPr>
          <w:sz w:val="48"/>
          <w:szCs w:val="48"/>
        </w:rPr>
      </w:pPr>
      <w:r>
        <w:rPr>
          <w:noProof/>
          <w:lang w:eastAsia="ru-RU"/>
        </w:rPr>
        <w:drawing>
          <wp:inline distT="0" distB="0" distL="0" distR="0" wp14:anchorId="34140971" wp14:editId="7FBB0B44">
            <wp:extent cx="5925127" cy="5925127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27" cy="592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09" w:rsidRPr="001F0009" w:rsidRDefault="001F0009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Pr="001F0009">
        <w:rPr>
          <w:rFonts w:ascii="Times New Roman" w:hAnsi="Times New Roman" w:cs="Times New Roman"/>
          <w:sz w:val="28"/>
          <w:szCs w:val="28"/>
        </w:rPr>
        <w:t>Рис.  5.2.1</w:t>
      </w:r>
    </w:p>
    <w:p w:rsidR="001F0009" w:rsidRDefault="001F0009">
      <w:pPr>
        <w:rPr>
          <w:sz w:val="28"/>
          <w:szCs w:val="28"/>
        </w:rPr>
      </w:pPr>
    </w:p>
    <w:p w:rsidR="001F0009" w:rsidRDefault="001F0009" w:rsidP="001F00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1F0009">
        <w:rPr>
          <w:rFonts w:ascii="Times New Roman" w:hAnsi="Times New Roman" w:cs="Times New Roman"/>
          <w:sz w:val="28"/>
          <w:szCs w:val="28"/>
        </w:rPr>
        <w:t>На рис. 5.2.2 показана главная страница, где можно просмотреть рекомендации, а также перейти к разделам – Профиль, Подписки, Поиск.</w:t>
      </w:r>
    </w:p>
    <w:p w:rsidR="001F0009" w:rsidRDefault="001F0009" w:rsidP="001F00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463B0B" wp14:editId="7C53D68E">
            <wp:extent cx="5834167" cy="5834167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167" cy="583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09" w:rsidRDefault="001F0009" w:rsidP="001F00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Рис. 5.2.2</w:t>
      </w:r>
    </w:p>
    <w:p w:rsidR="001F0009" w:rsidRDefault="001F0009" w:rsidP="001F00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0009" w:rsidRDefault="001F0009" w:rsidP="001F00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На рис. 5.2.3 изображен раздел – Поиск, где можно выполнить поиск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сопутешественника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параметрам.</w:t>
      </w:r>
    </w:p>
    <w:p w:rsidR="001F0009" w:rsidRDefault="001F0009" w:rsidP="001F00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5532D4" wp14:editId="768B92FA">
            <wp:extent cx="5842000" cy="5842000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09" w:rsidRPr="001F0009" w:rsidRDefault="001F0009" w:rsidP="001F00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Рис. 5.2.3</w:t>
      </w:r>
    </w:p>
    <w:sectPr w:rsidR="001F0009" w:rsidRPr="001F0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7"/>
    <w:rsid w:val="001767F7"/>
    <w:rsid w:val="001F0009"/>
    <w:rsid w:val="0091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0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00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0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0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2020-12-11T08:47:00Z</dcterms:created>
  <dcterms:modified xsi:type="dcterms:W3CDTF">2020-12-11T08:57:00Z</dcterms:modified>
</cp:coreProperties>
</file>