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b w:val="1"/>
          <w:color w:val="444444"/>
          <w:sz w:val="28"/>
          <w:szCs w:val="28"/>
          <w:highlight w:val="white"/>
          <w:rtl w:val="0"/>
        </w:rPr>
        <w:t xml:space="preserve">Автомобільна аптечка: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rFonts w:ascii="Times New Roman" w:cs="Times New Roman" w:eastAsia="Times New Roman" w:hAnsi="Times New Roman"/>
          <w:color w:val="3430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03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джгут(1 шт.);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стерильний бинт(1 шт.);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серветки з хлоргексидином(1 уп);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серветки з фурагіном (1 уп.);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перев’язувальний пакет(1 шт.);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лейкопластир у рулоні(1 шт.);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бактерицидний лейкопластир(5 шт.);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перев’язочна косинка(1 шт.);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5% йод (1 шт.);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інгалятор, за допомогою якого можна зробити штучне дихання (1шт.);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медичні рукавички (5 пар);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ножиці з затупленими кінцями(1 шт.);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клапан для легеневої вентиляції (1шт.);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1440" w:hanging="360"/>
        <w:rPr>
          <w:color w:val="44444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20% сульфацил-натрій(1 шт.);</w:t>
      </w:r>
    </w:p>
    <w:p w:rsidR="00000000" w:rsidDel="00000000" w:rsidP="00000000" w:rsidRDefault="00000000" w:rsidRPr="00000000" w14:paraId="00000012">
      <w:pPr>
        <w:shd w:fill="ffffff" w:val="clear"/>
        <w:ind w:left="720" w:firstLine="60"/>
        <w:rPr>
          <w:rFonts w:ascii="Times New Roman" w:cs="Times New Roman" w:eastAsia="Times New Roman" w:hAnsi="Times New Roman"/>
          <w:color w:val="3430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03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b w:val="1"/>
          <w:color w:val="444444"/>
          <w:sz w:val="28"/>
          <w:szCs w:val="28"/>
          <w:highlight w:val="white"/>
          <w:rtl w:val="0"/>
        </w:rPr>
        <w:t xml:space="preserve">Аптечка для перебування у горах: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color w:val="3430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03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03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Перев'язувальні матеріали: бинти звичайні,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бинт еластичний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03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Антисептики: хлоргексидин біглюконат,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перекис водню;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Вологі антисептичні серветки;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Активоване вугілля(10 блістерів)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Засоби від діареї: Ентерофурил(1шт) , Ентеросгель(1 шт.)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Ібупрофен (жарознижувальне, знеболювальне), Фервекс, Мефенамінка;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03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Антигістамінні (протиалергічні) препарати: Семпрекс\Еріус\Пипольфен;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Знеболюючі засоби: Но-шпа(1 блістер), Спазмалгон(1 блістер), Аспірин (1 блістер);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Антибіотики загальної дії: Цефазолін(1 блістер), Азитроміцин(1 блістер);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Засоби від нудоти: Юнорм, Сальфолак.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Засоби від засмаги і сонячних опіків: пантенол, крем від засмаги “Сонечко”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color w:val="343031"/>
          <w:highlight w:val="white"/>
          <w:u w:val="none"/>
        </w:rPr>
      </w:pPr>
      <w:r w:rsidDel="00000000" w:rsidR="00000000" w:rsidRPr="00000000">
        <w:rPr>
          <w:color w:val="343031"/>
          <w:sz w:val="28"/>
          <w:szCs w:val="28"/>
          <w:highlight w:val="white"/>
          <w:rtl w:val="0"/>
        </w:rPr>
        <w:t xml:space="preserve">Засоби гігієни: ватняні диски, щітки(5), зубна паста.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3430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3430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