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gtwxjq3ayl3" w:id="0"/>
      <w:bookmarkEnd w:id="0"/>
      <w:r w:rsidDel="00000000" w:rsidR="00000000" w:rsidRPr="00000000">
        <w:rPr>
          <w:rtl w:val="0"/>
        </w:rPr>
        <w:t xml:space="preserve">JAV1001 App Development for Android</w:t>
      </w:r>
    </w:p>
    <w:p w:rsidR="00000000" w:rsidDel="00000000" w:rsidP="00000000" w:rsidRDefault="00000000" w:rsidRPr="00000000" w14:paraId="00000002">
      <w:pPr>
        <w:pStyle w:val="Heading1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qpq1m8gzuxl" w:id="1"/>
      <w:bookmarkEnd w:id="1"/>
      <w:r w:rsidDel="00000000" w:rsidR="00000000" w:rsidRPr="00000000">
        <w:rPr>
          <w:rtl w:val="0"/>
        </w:rPr>
        <w:t xml:space="preserve">Lab 7 — Styles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ulzz6pe8yvc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rtl w:val="0"/>
        </w:rPr>
        <w:t xml:space="preserve">This lab is meant to further your understanding of the Android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2tqhsfkh5h0" w:id="3"/>
      <w:bookmarkEnd w:id="3"/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4%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3dmy5rc0ve2p" w:id="4"/>
      <w:bookmarkEnd w:id="4"/>
      <w:r w:rsidDel="00000000" w:rsidR="00000000" w:rsidRPr="00000000">
        <w:rPr>
          <w:rtl w:val="0"/>
        </w:rPr>
        <w:t xml:space="preserve">Course Outcomes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5. </w:t>
      </w:r>
      <w:r w:rsidDel="00000000" w:rsidR="00000000" w:rsidRPr="00000000">
        <w:rPr>
          <w:color w:val="1d2125"/>
          <w:highlight w:val="white"/>
          <w:rtl w:val="0"/>
        </w:rPr>
        <w:t xml:space="preserve">Design a user interface for the Android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vz0bsfpgjp6j" w:id="5"/>
      <w:bookmarkEnd w:id="5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You may work in groups of up to 3 students.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Continue working on the </w:t>
      </w:r>
      <w:r w:rsidDel="00000000" w:rsidR="00000000" w:rsidRPr="00000000">
        <w:rPr>
          <w:b w:val="1"/>
          <w:color w:val="1d2125"/>
          <w:rtl w:val="0"/>
        </w:rPr>
        <w:t xml:space="preserve">Scorekeeping app</w:t>
      </w:r>
      <w:r w:rsidDel="00000000" w:rsidR="00000000" w:rsidRPr="00000000">
        <w:rPr>
          <w:color w:val="1d2125"/>
          <w:rtl w:val="0"/>
        </w:rPr>
        <w:t xml:space="preserve">, adding styles to make the app look professional. Focus on trying to use a general theme when appropriate.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673.75"/>
        <w:gridCol w:w="2673.75"/>
        <w:gridCol w:w="2673.75"/>
        <w:gridCol w:w="2673.75"/>
        <w:tblGridChange w:id="0">
          <w:tblGrid>
            <w:gridCol w:w="930"/>
            <w:gridCol w:w="2673.75"/>
            <w:gridCol w:w="2673.75"/>
            <w:gridCol w:w="2673.75"/>
            <w:gridCol w:w="267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color w:val="1d2125"/>
                <w:sz w:val="23"/>
                <w:szCs w:val="23"/>
                <w:rtl w:val="0"/>
              </w:rPr>
              <w:t xml:space="preserve">App uses in-line styles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color w:val="1d2125"/>
                <w:sz w:val="23"/>
                <w:szCs w:val="23"/>
                <w:u w:val="none"/>
              </w:rPr>
            </w:pPr>
            <w:r w:rsidDel="00000000" w:rsidR="00000000" w:rsidRPr="00000000">
              <w:rPr>
                <w:color w:val="1d2125"/>
                <w:sz w:val="23"/>
                <w:szCs w:val="23"/>
                <w:rtl w:val="0"/>
              </w:rPr>
              <w:t xml:space="preserve">All style attributes are applied to Views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color w:val="1d2125"/>
                <w:sz w:val="23"/>
                <w:szCs w:val="23"/>
                <w:rtl w:val="0"/>
              </w:rPr>
              <w:t xml:space="preserve">Individual styles are added to Views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1d2125"/>
                <w:sz w:val="23"/>
                <w:szCs w:val="23"/>
                <w:u w:val="none"/>
              </w:rPr>
            </w:pPr>
            <w:r w:rsidDel="00000000" w:rsidR="00000000" w:rsidRPr="00000000">
              <w:rPr>
                <w:color w:val="1d2125"/>
                <w:sz w:val="23"/>
                <w:szCs w:val="23"/>
                <w:rtl w:val="0"/>
              </w:rPr>
              <w:t xml:space="preserve">Styles are added in themes/styles.xml and applied directly to 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5"/>
                <w:highlight w:val="white"/>
              </w:rPr>
            </w:pPr>
            <w:r w:rsidDel="00000000" w:rsidR="00000000" w:rsidRPr="00000000">
              <w:rPr>
                <w:color w:val="1d2125"/>
                <w:highlight w:val="white"/>
                <w:rtl w:val="0"/>
              </w:rPr>
              <w:t xml:space="preserve">App makes use of a single theme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hd w:fill="ffffff" w:val="clear"/>
              <w:spacing w:after="240" w:line="240" w:lineRule="auto"/>
              <w:ind w:left="425.19685039370046" w:hanging="360"/>
              <w:rPr/>
            </w:pPr>
            <w:r w:rsidDel="00000000" w:rsidR="00000000" w:rsidRPr="00000000">
              <w:rPr>
                <w:color w:val="1d2125"/>
                <w:rtl w:val="0"/>
              </w:rPr>
              <w:t xml:space="preserve">Styles are added in themes/styles.xml and added to the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2125"/>
                <w:highlight w:val="white"/>
              </w:rPr>
            </w:pPr>
            <w:r w:rsidDel="00000000" w:rsidR="00000000" w:rsidRPr="00000000">
              <w:rPr>
                <w:color w:val="1d2125"/>
                <w:highlight w:val="white"/>
                <w:rtl w:val="0"/>
              </w:rPr>
              <w:t xml:space="preserve">Professional styling is used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="240" w:lineRule="auto"/>
              <w:ind w:left="425.1968503937013" w:hanging="360"/>
              <w:rPr/>
            </w:pPr>
            <w:r w:rsidDel="00000000" w:rsidR="00000000" w:rsidRPr="00000000">
              <w:rPr>
                <w:color w:val="1d2125"/>
                <w:rtl w:val="0"/>
              </w:rPr>
              <w:t xml:space="preserve">multiple themes (night mode, version)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="240" w:lineRule="auto"/>
              <w:ind w:left="425.1968503937013" w:hanging="360"/>
              <w:rPr/>
            </w:pPr>
            <w:r w:rsidDel="00000000" w:rsidR="00000000" w:rsidRPr="00000000">
              <w:rPr>
                <w:color w:val="1d2125"/>
                <w:rtl w:val="0"/>
              </w:rPr>
              <w:t xml:space="preserve">combines theme with individual or in-line styles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hd w:fill="ffffff" w:val="clear"/>
              <w:spacing w:after="240" w:line="240" w:lineRule="auto"/>
              <w:ind w:left="425.1968503937013" w:hanging="360"/>
              <w:rPr/>
            </w:pPr>
            <w:r w:rsidDel="00000000" w:rsidR="00000000" w:rsidRPr="00000000">
              <w:rPr>
                <w:color w:val="1d2125"/>
                <w:rtl w:val="0"/>
              </w:rPr>
              <w:t xml:space="preserve">app looks professional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2125"/>
                <w:sz w:val="23"/>
                <w:szCs w:val="23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2125"/>
                <w:sz w:val="23"/>
                <w:szCs w:val="23"/>
                <w:rtl w:val="0"/>
              </w:rPr>
              <w:t xml:space="preserve">2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2125"/>
                <w:sz w:val="23"/>
                <w:szCs w:val="23"/>
                <w:rtl w:val="0"/>
              </w:rPr>
              <w:t xml:space="preserve">3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2125"/>
                <w:sz w:val="23"/>
                <w:szCs w:val="23"/>
                <w:rtl w:val="0"/>
              </w:rPr>
              <w:t xml:space="preserve">4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d2125"/>
                <w:sz w:val="23"/>
                <w:szCs w:val="23"/>
                <w:rtl w:val="0"/>
              </w:rPr>
              <w:t xml:space="preserve">6 marks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jcl5gndnzwah" w:id="6"/>
      <w:bookmarkEnd w:id="6"/>
      <w:r w:rsidDel="00000000" w:rsidR="00000000" w:rsidRPr="00000000">
        <w:rPr>
          <w:rtl w:val="0"/>
        </w:rPr>
        <w:t xml:space="preserve">Time Commitment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This lab should take approximately 2 hours.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lmkxv9laideb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jy63xgmfewlc" w:id="8"/>
      <w:bookmarkEnd w:id="8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Code that does not compile will be marked at 50%. Marks may be deducted for additional reasons (ie inefficient or difficult to read code)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Styles (</w:t>
      </w:r>
      <w:r w:rsidDel="00000000" w:rsidR="00000000" w:rsidRPr="00000000">
        <w:rPr>
          <w:b w:val="1"/>
          <w:color w:val="1d2125"/>
          <w:rtl w:val="0"/>
        </w:rPr>
        <w:t xml:space="preserve">6 marks</w:t>
      </w:r>
      <w:r w:rsidDel="00000000" w:rsidR="00000000" w:rsidRPr="00000000">
        <w:rPr>
          <w:color w:val="1d2125"/>
          <w:rtl w:val="0"/>
        </w:rPr>
        <w:t xml:space="preserve"> see above)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Documentation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Meaningful style names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Helpful XML comments to separate style types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GitHub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Code is correctly added to the GitHub repository (eg: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JAV1001-ScoreKeeper</w:t>
      </w:r>
      <w:r w:rsidDel="00000000" w:rsidR="00000000" w:rsidRPr="00000000">
        <w:rPr>
          <w:color w:val="1d2125"/>
          <w:rtl w:val="0"/>
        </w:rPr>
        <w:t xml:space="preserve">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Commit message(s) inform the reader of code that has been updated (how, why)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jplkkmcilfuh" w:id="9"/>
      <w:bookmarkEnd w:id="9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Upload your code to a new GitHub repository and put the link in the comments or a .txt file. If you work in pairs, only submit one assignment per group.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are submitting a .kt file, submit it in a .zip file (Windows: Right Click folder/file &gt; Send To &gt; Compressed Folder; OS X Right Click folder/file &gt;  Compress) and follow the instructions above. Marks will be deducted.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worked in a group: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i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somebody else is submitting on your behalf, you must use the text box to indicate your contributions. </w:t>
      </w:r>
      <w:r w:rsidDel="00000000" w:rsidR="00000000" w:rsidRPr="00000000">
        <w:rPr>
          <w:i w:val="1"/>
          <w:color w:val="1d2125"/>
          <w:sz w:val="23"/>
          <w:szCs w:val="23"/>
          <w:rtl w:val="0"/>
        </w:rPr>
        <w:t xml:space="preserve">This should be in your own words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are submitting on behalf of someone else, you must also indicate your contributions, and list the names of other students in your group.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Failure to list contributions, or if the contributions are not significant, may result in a score of 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