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Тест-план для сайта Стоматологический комплекс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ПрезиДЕНТ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Дата создания: 26 апреля 2022 г.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Составил(а): Черноусов Артем </w:t>
        <w:br w:type="textWrapping"/>
        <w:br w:type="textWrapping"/>
        <w:t xml:space="preserve">Проверил: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83.464566929133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ПрезиДЕНТ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».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283.464566929133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auto" w:val="clear"/>
          <w:rtl w:val="0"/>
        </w:rPr>
        <w:t xml:space="preserve">В процессе тестирования сайта «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Стоматологический комплекс ПрезиДЕНТ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uto" w:val="clear"/>
          <w:rtl w:val="0"/>
        </w:rPr>
        <w:t xml:space="preserve">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2.1. Тестируемый функционал сайта: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Разделы в шапке сайта: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240" w:lineRule="auto"/>
        <w:ind w:left="1700.7874015748032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Задать вопрос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40" w:lineRule="auto"/>
        <w:ind w:left="1700.7874015748032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Оставить отзыв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40" w:lineRule="auto"/>
        <w:ind w:left="1700.7874015748032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Записаться на прием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40" w:lineRule="auto"/>
        <w:ind w:left="1700.7874015748032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Номер телефона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17">
      <w:pPr>
        <w:spacing w:line="240" w:lineRule="auto"/>
        <w:ind w:left="6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Разделы главного меню: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Логотип компании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 компании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События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Услуги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Акции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Карьера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низкий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Наши врачи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Цены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Клиники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40" w:lineRule="auto"/>
        <w:ind w:left="1700.78740157480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Поиск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Работоспособность всех кнопок на сайте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Осуществление перехода на вкладки сайта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высокий;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Скроллинг страницы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приоритет средний.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2.2. Не будет проведено в силу отсутствия необходимых ресурсов: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83.4645669291337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Разделы меню с выпадающими подпунктами должны отображаться корректно;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«Задать вопрос»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«Оставить отзыв»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«Записаться на прием»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должны открывать соответствующие формы для заполнения.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разделе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«Стоматологии ПрезиДент»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все вкладки должны отображать соответствующие клиники.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разделе актуальных предложений должны корректно отображаться изображения предложений;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Ссылки на предоставленные социальные сети должны направлять на соответствующие социальные сети;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подвале сайта должны быть действительные ссылки на карту сайта и политику конфиденциальности.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разделе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«Наши партнеры»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отображаются логотипы компаний партнеров и должны направлять на соответствующие страницы.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283.4645669291337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Функциональное тестирование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Санитарное тестирование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Визуальное тестирование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5.  Сроки тестирования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Начало тестирования: 26.04.2022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Окончание тестирования: 27.04.2022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83.4645669291337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04.04.22, 23:00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06.04.22, 21:30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83.4645669291337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Тест-кейсы 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283.46456692913375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90"/>
        <w:gridCol w:w="8138"/>
        <w:tblGridChange w:id="0">
          <w:tblGrid>
            <w:gridCol w:w="1490"/>
            <w:gridCol w:w="8138"/>
          </w:tblGrid>
        </w:tblGridChange>
      </w:tblGrid>
      <w:tr>
        <w:trPr>
          <w:cantSplit w:val="0"/>
          <w:trHeight w:val="1245.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fafafa" w:val="clear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afafa" w:val="clear"/>
                <w:rtl w:val="0"/>
              </w:rPr>
              <w:t xml:space="preserve">Google chrome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afafa" w:val="clear"/>
                <w:rtl w:val="0"/>
              </w:rPr>
              <w:t xml:space="preserve">Версия 100.0.4896.127 (Официальная сборка), (64 бит);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afafa" w:val="clear"/>
                <w:rtl w:val="0"/>
              </w:rPr>
              <w:t xml:space="preserve">Opera версия —85.0.4341.75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 OC: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Выпуск</w:t>
              <w:tab/>
              <w:t xml:space="preserve">Windows 11 Pro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Версия</w:t>
              <w:tab/>
              <w:t xml:space="preserve">21H2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Сборка ОС</w:t>
              <w:tab/>
              <w:t xml:space="preserve">22000.613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700.787401574803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700.787401574803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ezi-dent.ru/" TargetMode="External"/><Relationship Id="rId7" Type="http://schemas.openxmlformats.org/officeDocument/2006/relationships/hyperlink" Target="https://www.prezi-de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