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"/>
        <w:ind w:left="170" w:firstLine="706" w:firstLineChars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7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>
      <w:pPr>
        <w:spacing w:before="71"/>
        <w:ind w:left="181" w:firstLine="0"/>
        <w:jc w:val="center"/>
        <w:rPr>
          <w:sz w:val="26"/>
        </w:rPr>
      </w:pPr>
      <w:r>
        <w:rPr>
          <w:spacing w:val="-10"/>
          <w:sz w:val="26"/>
        </w:rPr>
        <w:t>федеральное</w:t>
      </w:r>
      <w:r>
        <w:rPr>
          <w:spacing w:val="-20"/>
          <w:sz w:val="26"/>
        </w:rPr>
        <w:t xml:space="preserve"> </w:t>
      </w:r>
      <w:r>
        <w:rPr>
          <w:spacing w:val="-10"/>
          <w:sz w:val="26"/>
        </w:rPr>
        <w:t>государственное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автономное</w:t>
      </w:r>
      <w:r>
        <w:rPr>
          <w:spacing w:val="-19"/>
          <w:sz w:val="26"/>
        </w:rPr>
        <w:t xml:space="preserve"> </w:t>
      </w:r>
      <w:r>
        <w:rPr>
          <w:spacing w:val="-10"/>
          <w:sz w:val="26"/>
        </w:rPr>
        <w:t>образовательное</w:t>
      </w:r>
      <w:r>
        <w:rPr>
          <w:spacing w:val="-16"/>
          <w:sz w:val="26"/>
        </w:rPr>
        <w:t xml:space="preserve"> </w:t>
      </w:r>
      <w:r>
        <w:rPr>
          <w:spacing w:val="-10"/>
          <w:sz w:val="26"/>
        </w:rPr>
        <w:t>учреждение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высшего</w:t>
      </w:r>
      <w:r>
        <w:rPr>
          <w:spacing w:val="-19"/>
          <w:sz w:val="26"/>
        </w:rPr>
        <w:t xml:space="preserve"> </w:t>
      </w:r>
      <w:r>
        <w:rPr>
          <w:spacing w:val="-9"/>
          <w:sz w:val="26"/>
        </w:rPr>
        <w:t>образования</w:t>
      </w:r>
    </w:p>
    <w:p>
      <w:pPr>
        <w:pStyle w:val="5"/>
        <w:spacing w:before="74" w:after="21" w:line="300" w:lineRule="auto"/>
        <w:ind w:left="190" w:firstLine="0"/>
        <w:jc w:val="center"/>
      </w:pPr>
      <w:r>
        <w:rPr>
          <w:spacing w:val="-10"/>
        </w:rPr>
        <w:t xml:space="preserve">«САНКТ-ПЕТЕРБУРГСКИЙ ГОСУДАРСТВЕННЫЙ </w:t>
      </w:r>
      <w:r>
        <w:rPr>
          <w:spacing w:val="-9"/>
        </w:rPr>
        <w:t>УНИВЕРСИТЕТ</w:t>
      </w:r>
      <w:r>
        <w:rPr>
          <w:spacing w:val="-67"/>
        </w:rPr>
        <w:t xml:space="preserve"> </w:t>
      </w:r>
      <w:r>
        <w:rPr>
          <w:spacing w:val="-10"/>
        </w:rPr>
        <w:t>АЭРОКОСМИЧЕСКОГО</w:t>
      </w:r>
      <w:r>
        <w:rPr>
          <w:spacing w:val="-21"/>
        </w:rPr>
        <w:t xml:space="preserve"> </w:t>
      </w:r>
      <w:r>
        <w:rPr>
          <w:spacing w:val="-10"/>
        </w:rPr>
        <w:t>ПРИБОРОСТРОЕНИЯ»</w:t>
      </w:r>
    </w:p>
    <w:p>
      <w:pPr>
        <w:pStyle w:val="5"/>
        <w:spacing w:line="28" w:lineRule="exact"/>
        <w:ind w:left="284" w:firstLine="0"/>
        <w:rPr>
          <w:sz w:val="2"/>
        </w:rPr>
      </w:pPr>
      <w:r>
        <mc:AlternateContent>
          <mc:Choice Requires="wpg">
            <w:drawing>
              <wp:inline distT="0" distB="0" distL="114300" distR="114300">
                <wp:extent cx="6158230" cy="18415"/>
                <wp:effectExtent l="0" t="0" r="13970" b="4445"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58230" cy="18415"/>
                          <a:chOff x="0" y="0"/>
                          <a:chExt cx="6158230" cy="1841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Picture 1" o:spid="_x0000_s1026" o:spt="203" style="height:1.45pt;width:484.9pt;" coordsize="6158230,18415" o:gfxdata="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QZ+w9QAAAADAQAADwAAAAAAAAABACAAAAAi&#10;AAAAZHJzL2Rvd25yZXYueG1sUEsBAhQAFAAAAAgAh07iQAhivSRHAgAAAwUAAA4AAAAAAAAAAQAg&#10;AAAAIwEAAGRycy9lMm9Eb2MueG1sUEsFBgAAAAAGAAYAWQEAANwFAAAAAA==&#10;">
                <o:lock v:ext="edit" aspectratio="f"/>
                <v:rect id="_x0000_s1026" o:spid="_x0000_s1026" o:spt="1" style="position:absolute;left:0;top:0;height:18415;width:6158230;" fillcolor="#000000" filled="t" stroked="f" coordsize="21600,21600" o:gfxdata="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2K5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5"/>
        <w:spacing w:before="89"/>
        <w:ind w:left="599"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24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2"/>
        </w:rPr>
      </w:pPr>
    </w:p>
    <w:p>
      <w:pPr>
        <w:pStyle w:val="5"/>
        <w:spacing w:before="89" w:line="360" w:lineRule="auto"/>
        <w:ind w:left="312" w:right="6546" w:firstLine="0"/>
        <w:jc w:val="both"/>
      </w:pPr>
      <w:r>
        <w:t>КОНТРОЛЬНАЯ РАБОТА</w:t>
      </w:r>
      <w:r>
        <w:rPr>
          <w:spacing w:val="-67"/>
        </w:rPr>
        <w:t xml:space="preserve"> </w:t>
      </w:r>
      <w:r>
        <w:t>ЗАЩИЩЕН С ОЦЕНКОЙ</w:t>
      </w:r>
      <w:r>
        <w:rPr>
          <w:spacing w:val="-67"/>
        </w:rPr>
        <w:t xml:space="preserve"> </w:t>
      </w:r>
      <w:r>
        <w:t>ПРЕПОДАВАТЕЛЬ</w:t>
      </w:r>
    </w:p>
    <w:p>
      <w:pPr>
        <w:pStyle w:val="5"/>
        <w:rPr>
          <w:sz w:val="20"/>
        </w:rPr>
      </w:pPr>
    </w:p>
    <w:p>
      <w:pPr>
        <w:pStyle w:val="5"/>
        <w:rPr>
          <w:rFonts w:hint="default"/>
          <w:sz w:val="26"/>
          <w:lang w:val="ru-RU"/>
        </w:rPr>
      </w:pPr>
      <w:r>
        <w:rPr>
          <w:sz w:val="26"/>
        </w:rPr>
        <w:t xml:space="preserve">         Доцент</w:t>
      </w:r>
      <w:r>
        <w:rPr>
          <w:rFonts w:hint="default"/>
          <w:sz w:val="26"/>
          <w:lang w:val="en-US"/>
        </w:rPr>
        <w:t xml:space="preserve">, </w:t>
      </w:r>
      <w:r>
        <w:rPr>
          <w:rFonts w:hint="default"/>
          <w:sz w:val="26"/>
          <w:lang w:val="ru-RU"/>
        </w:rPr>
        <w:t>канд. Техн. наук</w:t>
      </w:r>
      <w:r>
        <w:rPr>
          <w:sz w:val="26"/>
        </w:rPr>
        <w:t xml:space="preserve">                                                             </w:t>
      </w:r>
      <w:r>
        <w:rPr>
          <w:rFonts w:hint="default"/>
          <w:sz w:val="26"/>
          <w:lang w:val="ru-RU"/>
        </w:rPr>
        <w:t xml:space="preserve">   </w:t>
      </w:r>
      <w:r>
        <w:rPr>
          <w:sz w:val="26"/>
        </w:rPr>
        <w:t xml:space="preserve"> </w:t>
      </w:r>
      <w:r>
        <w:rPr>
          <w:sz w:val="26"/>
          <w:lang w:val="ru-RU"/>
        </w:rPr>
        <w:t>А</w:t>
      </w:r>
      <w:r>
        <w:rPr>
          <w:rFonts w:hint="default"/>
          <w:sz w:val="26"/>
          <w:lang w:val="ru-RU"/>
        </w:rPr>
        <w:t>.З. Яфаров</w:t>
      </w:r>
    </w:p>
    <w:tbl>
      <w:tblPr>
        <w:tblStyle w:val="9"/>
        <w:tblW w:w="0" w:type="auto"/>
        <w:tblInd w:w="3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3"/>
        <w:gridCol w:w="284"/>
        <w:gridCol w:w="2833"/>
        <w:gridCol w:w="236"/>
        <w:gridCol w:w="30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 w:hRule="atLeast"/>
        </w:trPr>
        <w:tc>
          <w:tcPr>
            <w:tcW w:w="3263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442" w:firstLine="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звание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833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886" w:firstLine="0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дата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3032" w:type="dxa"/>
            <w:tcBorders>
              <w:top w:val="single" w:color="000000" w:sz="4" w:space="0"/>
            </w:tcBorders>
          </w:tcPr>
          <w:p>
            <w:pPr>
              <w:pStyle w:val="8"/>
              <w:spacing w:line="165" w:lineRule="exact"/>
              <w:ind w:left="746" w:firstLine="0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фамилия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6"/>
        </w:rPr>
      </w:pPr>
    </w:p>
    <w:p>
      <w:pPr>
        <w:spacing w:before="89"/>
        <w:ind w:left="181" w:firstLine="0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ЛАБОРАТОРНАЯ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US"/>
        </w:rPr>
        <w:t>2</w:t>
      </w:r>
    </w:p>
    <w:p>
      <w:pPr>
        <w:pStyle w:val="5"/>
        <w:spacing w:before="1"/>
        <w:jc w:val="center"/>
        <w:rPr>
          <w:b/>
          <w:sz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«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Технологии 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анализа трафика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компьютерной сети»</w:t>
      </w:r>
    </w:p>
    <w:p>
      <w:pPr>
        <w:pStyle w:val="5"/>
        <w:spacing w:before="5"/>
        <w:jc w:val="center"/>
        <w:rPr>
          <w:b/>
          <w:sz w:val="41"/>
        </w:rPr>
      </w:pPr>
      <w:r>
        <w:rPr>
          <w:b/>
          <w:sz w:val="48"/>
        </w:rPr>
        <w:t xml:space="preserve"> </w:t>
      </w:r>
    </w:p>
    <w:p>
      <w:pPr>
        <w:spacing w:before="1"/>
        <w:ind w:left="201" w:firstLine="0"/>
        <w:jc w:val="center"/>
        <w:rPr>
          <w:rFonts w:hint="default"/>
          <w:b/>
          <w:sz w:val="28"/>
          <w:lang w:val="ru-RU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курсу:</w:t>
      </w:r>
      <w:r>
        <w:rPr>
          <w:b/>
          <w:bCs/>
          <w:spacing w:val="-2"/>
          <w:sz w:val="28"/>
        </w:rPr>
        <w:t xml:space="preserve"> </w:t>
      </w:r>
      <w:r>
        <w:rPr>
          <w:rFonts w:hint="default"/>
          <w:b/>
          <w:bCs/>
          <w:spacing w:val="-2"/>
          <w:sz w:val="28"/>
          <w:lang w:val="ru-RU"/>
        </w:rPr>
        <w:t>Информационные технологии</w:t>
      </w:r>
    </w:p>
    <w:p>
      <w:pPr>
        <w:spacing w:before="1"/>
        <w:ind w:left="201" w:firstLine="0"/>
        <w:jc w:val="center"/>
        <w:rPr>
          <w:b/>
          <w:sz w:val="28"/>
        </w:rPr>
      </w:pPr>
    </w:p>
    <w:p>
      <w:pPr>
        <w:pStyle w:val="5"/>
        <w:jc w:val="center"/>
        <w:rPr>
          <w:b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3"/>
        </w:rPr>
      </w:pPr>
    </w:p>
    <w:tbl>
      <w:tblPr>
        <w:tblStyle w:val="9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6"/>
        <w:gridCol w:w="284"/>
        <w:gridCol w:w="2948"/>
        <w:gridCol w:w="236"/>
        <w:gridCol w:w="26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746" w:type="dxa"/>
            <w:tcBorders>
              <w:bottom w:val="single" w:color="000000" w:themeColor="text1" w:sz="4" w:space="0"/>
            </w:tcBorders>
          </w:tcPr>
          <w:p>
            <w:pPr>
              <w:pStyle w:val="8"/>
              <w:spacing w:line="311" w:lineRule="exact"/>
              <w:ind w:left="200" w:firstLine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       2213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948" w:type="dxa"/>
            <w:tcBorders>
              <w:bottom w:val="single" w:color="000000" w:themeColor="text1" w:sz="4" w:space="0"/>
            </w:tcBorders>
          </w:tcPr>
          <w:p>
            <w:pPr>
              <w:pStyle w:val="8"/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rFonts w:hint="default"/>
                <w:sz w:val="24"/>
                <w:lang w:val="ru-RU"/>
              </w:rPr>
              <w:t>29</w:t>
            </w:r>
            <w:bookmarkStart w:id="0" w:name="_GoBack"/>
            <w:bookmarkEnd w:id="0"/>
            <w:r>
              <w:rPr>
                <w:rFonts w:hint="default"/>
                <w:sz w:val="24"/>
                <w:lang w:val="ru-RU"/>
              </w:rPr>
              <w:t>.02.2024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629" w:type="dxa"/>
            <w:tcBorders>
              <w:bottom w:val="single" w:color="000000" w:themeColor="text1" w:sz="4" w:space="0"/>
            </w:tcBorders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Калинин А. А.      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3746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right="227"/>
              <w:jc w:val="right"/>
              <w:rPr>
                <w:sz w:val="16"/>
              </w:rPr>
            </w:pPr>
            <w:r>
              <w:rPr>
                <w:sz w:val="16"/>
              </w:rPr>
              <w:t>номер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группы</w:t>
            </w:r>
          </w:p>
        </w:tc>
        <w:tc>
          <w:tcPr>
            <w:tcW w:w="284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948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left="986" w:right="987" w:firstLine="0"/>
              <w:jc w:val="center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</w:t>
            </w:r>
          </w:p>
        </w:tc>
        <w:tc>
          <w:tcPr>
            <w:tcW w:w="236" w:type="dxa"/>
          </w:tcPr>
          <w:p>
            <w:pPr>
              <w:pStyle w:val="8"/>
              <w:rPr>
                <w:sz w:val="12"/>
              </w:rPr>
            </w:pPr>
          </w:p>
        </w:tc>
        <w:tc>
          <w:tcPr>
            <w:tcW w:w="2629" w:type="dxa"/>
            <w:tcBorders>
              <w:top w:val="single" w:color="000000" w:themeColor="text1" w:sz="4" w:space="0"/>
            </w:tcBorders>
          </w:tcPr>
          <w:p>
            <w:pPr>
              <w:pStyle w:val="8"/>
              <w:spacing w:line="159" w:lineRule="exact"/>
              <w:ind w:left="626" w:firstLine="0"/>
              <w:rPr>
                <w:sz w:val="16"/>
              </w:rPr>
            </w:pPr>
            <w:r>
              <w:rPr>
                <w:sz w:val="16"/>
              </w:rPr>
              <w:t>инициалы,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фамилия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0"/>
        </w:r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1"/>
        <w:rPr>
          <w:b/>
          <w:sz w:val="27"/>
        </w:rPr>
      </w:pPr>
    </w:p>
    <w:p>
      <w:pPr>
        <w:pStyle w:val="5"/>
        <w:spacing w:before="107" w:line="228" w:lineRule="auto"/>
        <w:ind w:left="4100" w:right="3919" w:firstLine="0"/>
        <w:jc w:val="center"/>
        <w:rPr>
          <w:rFonts w:hint="default"/>
          <w:lang w:val="ru-RU"/>
        </w:rPr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>
        <w:rPr>
          <w:rFonts w:hint="default"/>
          <w:lang w:val="ru-RU"/>
        </w:rPr>
        <w:t>4</w:t>
      </w:r>
    </w:p>
    <w:p>
      <w:pPr>
        <w:sectPr>
          <w:pgSz w:w="11910" w:h="16840"/>
          <w:pgMar w:top="760" w:right="1000" w:bottom="280" w:left="820" w:header="720" w:footer="720" w:gutter="0"/>
          <w:cols w:space="720" w:num="1"/>
        </w:sect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Цель работы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закрепление знаний по анализу и оптимизации трафика компьютерной сети.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Основные навыки: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определение процесса и программы по номеру идентификатора процесса; определение программ, которые занимают каналы передачи данных (открытые порты); проведение анализа трафика по протоколам и программам, выявление доли широковещательного трафика.</w:t>
      </w:r>
    </w:p>
    <w:p>
      <w:pP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Общая информация о компьютере</w:t>
      </w: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Имя компьютера: DESKTOP-2H26PMC</w:t>
      </w:r>
    </w:p>
    <w:p>
      <w:pP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MAC </w:t>
      </w:r>
      <w: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адрес</w:t>
      </w:r>
      <w: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:74-56-3C-66-F1-9E</w:t>
      </w:r>
    </w:p>
    <w:p>
      <w:pP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IPv4-адрес: 192.168.1.39(Основной)</w:t>
      </w:r>
    </w:p>
    <w:p>
      <w:pPr>
        <w:rPr>
          <w:rFonts w:hint="default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«Часть 1 Анализ состояния компьютера» </w:t>
      </w:r>
    </w:p>
    <w:p>
      <w:pP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Анализ 1.</w:t>
      </w:r>
    </w:p>
    <w:p>
      <w:pP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Блок 1.1 необходимость определить список активных портов.</w:t>
      </w:r>
    </w:p>
    <w:p>
      <w:pP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Список состояния портов </w:t>
      </w:r>
    </w:p>
    <w:p>
      <w:r>
        <w:drawing>
          <wp:inline distT="0" distB="0" distL="114300" distR="114300">
            <wp:extent cx="3187065" cy="5791200"/>
            <wp:effectExtent l="0" t="0" r="1333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 xml:space="preserve">Используя утилиту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netstat -qo,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 xml:space="preserve"> я получил список активных портов. Большинство из них установило соединение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TCP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  <w:t xml:space="preserve"> для передачи данных.  Лишь некоторые порты(0.0.0.0) был определен под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UPD.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Состояние порта Listening – означает, что приложение, контролирующее этот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ru-RU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порт, находится в состоянии ожидания получения какого-либо пакета.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ru-RU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Состояние порта Estblished – означает, что приложение, контролирующее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этот порт, находится в состоянии активной передачи данных.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Для каждого такого соединения известен уникальный PID процесса. По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этому номеру можно найти имя процесса.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/>
        </w:rPr>
        <w:t>Состояние порта Bound — это переходное состояние перед состоянием listening.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  <w:t xml:space="preserve">Состояние порта Time_wait  — означает, что приложение или процесс находятся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  <w:t>в очереди.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  <w:t xml:space="preserve">Состояние порта Close_wait — это состояние, когда одна сторона узла TCP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/>
        </w:rPr>
        <w:t>больше не имеет данных для отправки, но может получать данные с другого конца.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ru-RU" w:eastAsia="zh-CN" w:bidi="ar"/>
        </w:rPr>
      </w:pPr>
    </w:p>
    <w:p>
      <w:r>
        <w:drawing>
          <wp:inline distT="0" distB="0" distL="114300" distR="114300">
            <wp:extent cx="5266690" cy="4428490"/>
            <wp:effectExtent l="0" t="0" r="6350" b="635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Отображение процессов и программ компьютера в </w:t>
      </w:r>
      <w:r>
        <w:rPr>
          <w:rFonts w:hint="default"/>
          <w:lang w:val="en-US"/>
        </w:rPr>
        <w:t>Process explorer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Отчёт «Анализ 2».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Блок 1.2. Список программ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Были составлены таблицы с соотношением портов и программ.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По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PID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отображенном в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Process Explorer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мы находили порт, определенный под данную программу и заносили информацию в таблицу.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Практически все программы использовали порты с протоколом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TCP,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но некоторые неизвестные мне программы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вероятно системные) распределены в порты с протоколом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UPD.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1.1.Системные программы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558"/>
        <w:gridCol w:w="1983"/>
        <w:gridCol w:w="1668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Наименование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Порт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Состояние порта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System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0.0.0.0:445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Svchost.exe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1400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0.0.0.0:135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VSSr.exe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5268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127.0.0.1:49669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Svchost.exe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4928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0.0.0.0:500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Service.exe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1040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[::]:49676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Svchost.exe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7616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0.0.0.0:5040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System Idle Process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192.168.1.39:52396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TIME_WAIT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1.2.Известные программы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256"/>
        <w:gridCol w:w="1983"/>
        <w:gridCol w:w="170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Наименование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Порт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Состояние порта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Discord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7518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127.0.0.1:6463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NVIDIA Web Helper.exe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10488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127.0.0.1:51149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Wps.exe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8472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0.0.0.0:52295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BOUND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Opera.exe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324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192.168.1.39:52302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Avp.exe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4580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192.168.1.39:51136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RiotClientService.exe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7096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127.0.0.1:51184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RzTHX0529.exe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23520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127.0.0.1:51377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ESTABLISHED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1.3.Неизвестные программы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538"/>
        <w:gridCol w:w="1983"/>
        <w:gridCol w:w="1703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Наименование</w:t>
            </w:r>
          </w:p>
        </w:tc>
        <w:tc>
          <w:tcPr>
            <w:tcW w:w="170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Порт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Состояние порта</w:t>
            </w:r>
          </w:p>
        </w:tc>
        <w:tc>
          <w:tcPr>
            <w:tcW w:w="1704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Search.App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9212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192.168.1.39:52337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CLOSE_WAIT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winnit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960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0.0.0.0:49665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Das.Host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5404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[::]:4500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UPD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fontdrvhost.exe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ab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ab/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3232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0.0.0.0:49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312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WUDFHost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1288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0.0.0.0:49668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LISTENING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Dmw.exe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3312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0.0.0.0:51197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WmiPrv SE.exe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4576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0.0.0.0:52395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ESTABLISHED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>«Часть 2. Анализ трафика локальной сети»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Блок 2.1. Формирование тестового набора пакетов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Было произведено три захвата пакетов: в режиме «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Idle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»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компьютер работает без каких либо программ),  в режиме «Копирование большого файла», и в режиме «Доступ в интернет к веб сайту». Все три файла сохраняются для дальнейшей работы и формировании статистики пакетов.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2.1. Режим «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Idle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Параметр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Время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захвата трафика,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мин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11,5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Количество захваченных пакетов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Объем, Мб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Средн.размер пакета, КБ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для пакетов / сек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Мбит / сек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0,001874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2.2. Режим «Копирования  большого файла»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Параметр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Время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захвата трафика,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мин</w:t>
            </w:r>
          </w:p>
        </w:tc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3,1 минут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Количество захваченных пакетов</w:t>
            </w:r>
          </w:p>
        </w:tc>
        <w:tc>
          <w:tcPr>
            <w:tcW w:w="426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Объем, Мб</w:t>
            </w:r>
          </w:p>
        </w:tc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Средн.размер пакета, КБ</w:t>
            </w:r>
          </w:p>
        </w:tc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для пакетов / сек</w:t>
            </w:r>
          </w:p>
        </w:tc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Мбит / сек</w:t>
            </w:r>
          </w:p>
        </w:tc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0,002079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Таблица 2.3. Режим «доступ к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Web-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сайту»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Параметр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Время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захвата трафика,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мин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Количество захваченных пакетов</w:t>
            </w:r>
          </w:p>
        </w:tc>
        <w:tc>
          <w:tcPr>
            <w:tcW w:w="426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19999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Объем, Мб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Средн.размер пакета, КБ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для пакетов / сек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Средня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ru-RU"/>
              </w:rPr>
              <w:t>я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 скорость, Мбит / сек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0,965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cs="Times New Roman"/>
          <w:b/>
          <w:bCs/>
          <w:sz w:val="22"/>
          <w:szCs w:val="22"/>
          <w:lang w:val="ru-RU"/>
        </w:rPr>
        <w:t>Анализ 3.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Составили таблицу распределения трафика по протоколам, которые использовались пи выполнении захвата. Наиболее частые протоколы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TCP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и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SSDP.</w:t>
      </w:r>
      <w:r>
        <w:rPr>
          <w:rFonts w:hint="default" w:cs="Times New Roman"/>
          <w:b w:val="0"/>
          <w:bCs w:val="0"/>
          <w:sz w:val="22"/>
          <w:szCs w:val="22"/>
          <w:lang w:val="ru-RU"/>
        </w:rPr>
        <w:t xml:space="preserve"> Появились ранее неизвестные протокол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ы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LLMNR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ru-RU"/>
        </w:rPr>
        <w:t xml:space="preserve">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позволяет компьютерам выполнять разрешение имен хостов в локальной сети.</w:t>
      </w:r>
      <w:r>
        <w:rPr>
          <w:rFonts w:hint="default" w:cs="Times New Roman"/>
          <w:b w:val="0"/>
          <w:bCs w:val="0"/>
          <w:sz w:val="22"/>
          <w:szCs w:val="22"/>
          <w:vertAlign w:val="baseline"/>
          <w:lang w:val="ru-RU"/>
        </w:rPr>
        <w:t>)</w:t>
      </w:r>
      <w:r>
        <w:rPr>
          <w:rFonts w:hint="default" w:cs="Times New Roman"/>
          <w:b w:val="0"/>
          <w:bCs w:val="0"/>
          <w:sz w:val="22"/>
          <w:szCs w:val="22"/>
          <w:lang w:val="ru-RU"/>
        </w:rPr>
        <w:t xml:space="preserve"> 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LLDP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ru-RU"/>
        </w:rPr>
        <w:t xml:space="preserve"> (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протокол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"https://ru.wikipedia.org/wiki/%D0%9A%D0%B0%D0%BD%D0%B0%D0%BB%D1%8C%D0%BD%D1%8B%D0%B9_%D1%83%D1%80%D0%BE%D0%B2%D0%B5%D0%BD%D1%8C" \o "Канальный уровень"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канального уровня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, позволяющий сетевому оборудованию оповещать оборудование, работающее в локальной сети, о своём существовании и передавать ему свои характеристики, а также получать от него аналогичные сведения.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) </w:t>
      </w:r>
      <w:r>
        <w:rPr>
          <w:rFonts w:hint="default" w:eastAsia="sans-serif" w:cs="Times New Roman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SSL-certificate — это криптографический протокол, который отвечает за безопасную передачу данных на сеансовом уровне.</w:t>
      </w:r>
    </w:p>
    <w:p>
      <w:pPr>
        <w:ind w:firstLine="110" w:firstLineChars="5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Таблица 2.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Режим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IDLE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бит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UDP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16512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ARP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11460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7,03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Browser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6561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4,027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DHCP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DNS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1880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HTTP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498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ICMPv6/ICMPv2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4292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LLMNR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170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MDNS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14897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9,14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SSDP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72855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44,7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SSL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2572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TCP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18105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11,1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TLSv1.2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12303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HIP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LLDP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58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Итого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162965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Фрагмент таблицы 2.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для режима копирования файла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бит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ARP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852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BROWSER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1458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IGMPv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ru-RU" w:eastAsia="zh-CN" w:bidi="ar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540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IGMPv2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834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MDNS</w:t>
            </w:r>
          </w:p>
        </w:tc>
        <w:tc>
          <w:tcPr>
            <w:tcW w:w="5682" w:type="dxa"/>
            <w:gridSpan w:val="2"/>
            <w:vMerge w:val="restart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SSDP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SSL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TCP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TLSv1.2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UDP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48947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Фрагмент таблицы 2.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 для режима доступа к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сайту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Протокол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бит</w:t>
            </w:r>
          </w:p>
        </w:tc>
        <w:tc>
          <w:tcPr>
            <w:tcW w:w="2841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Трафик,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TCP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11367350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70,16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BROWSER</w:t>
            </w:r>
          </w:p>
        </w:tc>
        <w:tc>
          <w:tcPr>
            <w:tcW w:w="5682" w:type="dxa"/>
            <w:gridSpan w:val="2"/>
            <w:vMerge w:val="restart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IGMPv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ru-RU" w:eastAsia="zh-CN" w:bidi="ar"/>
              </w:rPr>
              <w:t>6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IGMPv2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MDNS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SSDP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SSL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ARP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TLSv1.2</w:t>
            </w:r>
          </w:p>
        </w:tc>
        <w:tc>
          <w:tcPr>
            <w:tcW w:w="5682" w:type="dxa"/>
            <w:gridSpan w:val="2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UDP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16201463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Также была составлена таблица распределения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Ethernet-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трафика по узлам сети(Табл. 2.5)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Таблица 2.5  для режима доступа к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сайту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15"/>
        <w:gridCol w:w="1481"/>
        <w:gridCol w:w="874"/>
        <w:gridCol w:w="816"/>
        <w:gridCol w:w="785"/>
        <w:gridCol w:w="840"/>
        <w:gridCol w:w="935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MAC-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адресы</w:t>
            </w:r>
          </w:p>
        </w:tc>
        <w:tc>
          <w:tcPr>
            <w:tcW w:w="1065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IP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-адресы</w:t>
            </w:r>
          </w:p>
        </w:tc>
        <w:tc>
          <w:tcPr>
            <w:tcW w:w="6392" w:type="dxa"/>
            <w:gridSpan w:val="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Входной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Выходной</w:t>
            </w:r>
          </w:p>
        </w:tc>
        <w:tc>
          <w:tcPr>
            <w:tcW w:w="213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65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106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106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106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01:00:5e:00:00:fc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224.0.0.252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0,09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01:00:5e:00:00:01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224.0.0.1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0,117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5,3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0,117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ff:ff:ff:ff:ff:ff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192.168.1.255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45,3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3,81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48:e7:da:c7:07:2d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64.233.164.94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37,5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34,34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1e4:18:6b:7b:db:ac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192.168.1.39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45,3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62,5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16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61,05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2,207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26,207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 xml:space="preserve">Фрагмент таблицы 2.5  для режима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Idle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591"/>
        <w:gridCol w:w="857"/>
        <w:gridCol w:w="799"/>
        <w:gridCol w:w="772"/>
        <w:gridCol w:w="825"/>
        <w:gridCol w:w="914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MAC-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адресы</w:t>
            </w:r>
          </w:p>
        </w:tc>
        <w:tc>
          <w:tcPr>
            <w:tcW w:w="148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IP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-адресы</w:t>
            </w:r>
          </w:p>
        </w:tc>
        <w:tc>
          <w:tcPr>
            <w:tcW w:w="5126" w:type="dxa"/>
            <w:gridSpan w:val="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690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Входной</w:t>
            </w:r>
          </w:p>
        </w:tc>
        <w:tc>
          <w:tcPr>
            <w:tcW w:w="1625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Выходной</w:t>
            </w:r>
          </w:p>
        </w:tc>
        <w:tc>
          <w:tcPr>
            <w:tcW w:w="181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01:00:5e:00:00:02</w:t>
            </w:r>
          </w:p>
        </w:tc>
        <w:tc>
          <w:tcPr>
            <w:tcW w:w="14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87.245.209.201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0,44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44</w:t>
            </w: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8522" w:type="dxa"/>
            <w:gridSpan w:val="8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Фрагмент таблицы 2.5 для режима копирования файла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481"/>
        <w:gridCol w:w="874"/>
        <w:gridCol w:w="816"/>
        <w:gridCol w:w="785"/>
        <w:gridCol w:w="840"/>
        <w:gridCol w:w="935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MAC-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адресы</w:t>
            </w:r>
          </w:p>
        </w:tc>
        <w:tc>
          <w:tcPr>
            <w:tcW w:w="148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IP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-адресы</w:t>
            </w:r>
          </w:p>
        </w:tc>
        <w:tc>
          <w:tcPr>
            <w:tcW w:w="5126" w:type="dxa"/>
            <w:gridSpan w:val="6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Трафик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690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Входной</w:t>
            </w:r>
          </w:p>
        </w:tc>
        <w:tc>
          <w:tcPr>
            <w:tcW w:w="1625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Выходной</w:t>
            </w:r>
          </w:p>
        </w:tc>
        <w:tc>
          <w:tcPr>
            <w:tcW w:w="181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общий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/>
                <w:spacing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01:00:5e:00:00:fc</w:t>
            </w:r>
          </w:p>
        </w:tc>
        <w:tc>
          <w:tcPr>
            <w:tcW w:w="14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224.0.0.252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0,13</w:t>
            </w: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0,13</w:t>
            </w: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8522" w:type="dxa"/>
            <w:gridSpan w:val="8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91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14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1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78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40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  <w:tc>
          <w:tcPr>
            <w:tcW w:w="935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</w:p>
        </w:tc>
        <w:tc>
          <w:tcPr>
            <w:tcW w:w="876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page"/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Сформирова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ru-RU" w:eastAsia="zh-CN" w:bidi="ar"/>
        </w:rPr>
        <w:t>ли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распределение пакетов по программам в выборке. % от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трафика (статистика).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Search.App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Кб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winnit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1,76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Das.Host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4,86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fontdrvhost.exe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10,08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5,4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WUDFHost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1,82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0,97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Dmw.exe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164,4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87,75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WmiPrv SE.exe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4,43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2,36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t>187,35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ru-RU"/>
              </w:rPr>
              <w:t>100</w:t>
            </w:r>
          </w:p>
        </w:tc>
      </w:tr>
    </w:tbl>
    <w:p>
      <w:pP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ru-RU" w:eastAsia="zh-CN" w:bidi="ar"/>
        </w:rPr>
      </w:pPr>
      <w:r>
        <w:rPr>
          <w:rFonts w:hint="default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ru-RU" w:eastAsia="zh-CN" w:bidi="ar"/>
        </w:rPr>
        <w:t>Пункт 2.4.5 Определение эффективной пропускной способности выполнен не был из-за отсутствия возможности передачи файла.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</w:rPr>
        <w:t>Блок 2.3. Анализ трафика Broadcast и специальных протоколов</w:t>
      </w:r>
    </w:p>
    <w:p>
      <w:pP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ru-RU" w:eastAsia="zh-CN" w:bidi="ar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ru-RU" w:eastAsia="zh-CN" w:bidi="ar"/>
        </w:rPr>
        <w:t>Анализ 4-5.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Пакеты категории Broadcast (широковещательный) могут значительно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засорять компьютерную сеть. Эти пакеты в большинстве своем относятся 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служебным. Признаком этих пакетов являются пакеты с IP адресами 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хостовой части имеющие 255.255,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либо имеющие адрес MAC - FF:FF:FF:FF:FF:FF.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Эти пакеты выявляются в трафике с помощью фильтров.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К полезным служебным пакетам относятся пакеты ARP, идущие со своего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компьютера. Остальные (если есть, относятся к категории «чужой») 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В режиме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 xml:space="preserve">Idle 221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из 782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пакетов специальные пакеты с последним байтом 255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Protocol Browser)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и протоколы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ARP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1A1A1A"/>
          <w:spacing w:val="0"/>
          <w:sz w:val="22"/>
          <w:szCs w:val="22"/>
          <w:shd w:val="clear" w:fill="FFFFFF"/>
          <w:lang w:val="ru-RU"/>
        </w:rPr>
        <w:t>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 режиме копирования файла  22 из 227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пакетов специальные пакеты с последним байтом 255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Protocol Browser)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и протоколы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ARP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В режиме доступа к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Web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сайту 8 из 19999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специальные пакеты с последним байтом 255 (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Protocol Browser)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 xml:space="preserve">и протоколы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  <w:t>ARP</w:t>
      </w:r>
      <w:r>
        <w:rPr>
          <w:rFonts w:hint="default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ru-RU"/>
        </w:rPr>
        <w:t>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68580</wp:posOffset>
            </wp:positionV>
            <wp:extent cx="4427855" cy="2590165"/>
            <wp:effectExtent l="0" t="0" r="6985" b="635"/>
            <wp:wrapTopAndBottom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cs="Times New Roman"/>
          <w:sz w:val="22"/>
          <w:szCs w:val="22"/>
          <w:lang w:val="ru-RU"/>
        </w:rPr>
        <w:t xml:space="preserve">Трафик </w:t>
      </w:r>
      <w:r>
        <w:rPr>
          <w:rFonts w:hint="default" w:cs="Times New Roman"/>
          <w:sz w:val="22"/>
          <w:szCs w:val="22"/>
          <w:lang w:val="en-US"/>
        </w:rPr>
        <w:t>Broadcost</w:t>
      </w:r>
      <w:r>
        <w:rPr>
          <w:rFonts w:hint="default" w:cs="Times New Roman"/>
          <w:sz w:val="22"/>
          <w:szCs w:val="22"/>
          <w:lang w:val="ru-RU"/>
        </w:rPr>
        <w:t xml:space="preserve"> и специальных протоколов.</w:t>
      </w:r>
      <w:r>
        <w:rPr>
          <w:rFonts w:hint="default" w:cs="Times New Roman"/>
          <w:sz w:val="22"/>
          <w:szCs w:val="22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0E49"/>
    <w:rsid w:val="07B66435"/>
    <w:rsid w:val="1897603B"/>
    <w:rsid w:val="3EF95FB0"/>
    <w:rsid w:val="41B6039C"/>
    <w:rsid w:val="493E4801"/>
    <w:rsid w:val="49D764FC"/>
    <w:rsid w:val="6ACF241A"/>
    <w:rsid w:val="704173AD"/>
    <w:rsid w:val="756F0E49"/>
    <w:rsid w:val="78197094"/>
    <w:rsid w:val="7B3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 w:eastAsiaTheme="minorEastAsia" w:cstheme="minorBidi"/>
      <w:color w:val="000000"/>
      <w:spacing w:val="0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Body Text"/>
    <w:basedOn w:val="1"/>
    <w:qFormat/>
    <w:uiPriority w:val="0"/>
    <w:rPr>
      <w:sz w:val="2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0"/>
  </w:style>
  <w:style w:type="table" w:customStyle="1" w:styleId="9">
    <w:name w:val="Table Normal_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2024-02-13T08:49:00Z</dcterms:created>
  <dc:creator>Vlad</dc:creator>
  <cp:lastModifiedBy>Black Wolf</cp:lastModifiedBy>
  <dcterms:modified xsi:type="dcterms:W3CDTF">2024-02-29T20:45:18Z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ABDD868BCDFA413AAAB2813BA1B77139_13</vt:lpwstr>
  </property>
</Properties>
</file>