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3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Національний технічний університет України</w:t>
      </w:r>
    </w:p>
    <w:p w:rsidR="00CC326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«Київський політехнічний інститут  ім. І. Сікорського»</w:t>
      </w:r>
    </w:p>
    <w:p w:rsidR="00CC3260" w:rsidRDefault="00CC3260">
      <w:pPr>
        <w:jc w:val="center"/>
        <w:rPr>
          <w:color w:val="000000"/>
          <w:sz w:val="20"/>
          <w:szCs w:val="20"/>
        </w:rPr>
      </w:pPr>
    </w:p>
    <w:p w:rsidR="00CC326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28"/>
          <w:szCs w:val="28"/>
        </w:rPr>
        <w:t>енергетиці</w:t>
      </w:r>
    </w:p>
    <w:p w:rsidR="00CC3260" w:rsidRDefault="00CC3260">
      <w:pPr>
        <w:jc w:val="center"/>
        <w:rPr>
          <w:color w:val="000000"/>
          <w:sz w:val="20"/>
          <w:szCs w:val="20"/>
        </w:rPr>
      </w:pPr>
    </w:p>
    <w:p w:rsidR="00CC3260" w:rsidRDefault="00CC3260">
      <w:pPr>
        <w:jc w:val="center"/>
        <w:rPr>
          <w:color w:val="000000"/>
          <w:sz w:val="20"/>
          <w:szCs w:val="20"/>
        </w:rPr>
      </w:pPr>
    </w:p>
    <w:p w:rsidR="00CC3260" w:rsidRDefault="00CC3260">
      <w:pPr>
        <w:jc w:val="center"/>
        <w:rPr>
          <w:color w:val="000000"/>
          <w:sz w:val="20"/>
          <w:szCs w:val="20"/>
        </w:rPr>
      </w:pPr>
    </w:p>
    <w:p w:rsidR="00CC3260" w:rsidRDefault="00CC3260">
      <w:pPr>
        <w:jc w:val="center"/>
        <w:rPr>
          <w:color w:val="000000"/>
          <w:sz w:val="20"/>
          <w:szCs w:val="20"/>
        </w:rPr>
      </w:pPr>
    </w:p>
    <w:p w:rsidR="00CC3260" w:rsidRDefault="00CC3260">
      <w:pPr>
        <w:jc w:val="center"/>
        <w:rPr>
          <w:color w:val="000000"/>
          <w:sz w:val="20"/>
          <w:szCs w:val="20"/>
        </w:rPr>
      </w:pPr>
    </w:p>
    <w:p w:rsidR="00CC3260" w:rsidRDefault="00CC3260">
      <w:pPr>
        <w:jc w:val="center"/>
        <w:rPr>
          <w:color w:val="000000"/>
        </w:rPr>
      </w:pPr>
    </w:p>
    <w:p w:rsidR="00CC3260" w:rsidRDefault="0000000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Лабораторна робота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3</w:t>
      </w:r>
    </w:p>
    <w:p w:rsidR="00CC3260" w:rsidRDefault="00000000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 курсу: «Програмування вебзастосунків»</w:t>
      </w:r>
    </w:p>
    <w:p w:rsidR="00CC3260" w:rsidRDefault="00CC326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jdgxs"/>
      <w:bookmarkEnd w:id="0"/>
    </w:p>
    <w:p w:rsidR="00CC3260" w:rsidRDefault="00CC32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A4984" w:rsidRDefault="004A4984" w:rsidP="004A49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студент 4-го курсу,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групи ТВ-23</w:t>
      </w:r>
      <w:r>
        <w:rPr>
          <w:rFonts w:ascii="Times New Roman" w:eastAsia="Times New Roman" w:hAnsi="Times New Roman" w:cs="Times New Roman"/>
          <w:color w:val="EE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Хворостяний Артем</w:t>
      </w:r>
    </w:p>
    <w:p w:rsidR="004A4984" w:rsidRDefault="004A4984" w:rsidP="004A498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github:</w:t>
      </w:r>
    </w:p>
    <w:p w:rsidR="004A4984" w:rsidRPr="001C2BE3" w:rsidRDefault="004A4984" w:rsidP="004A498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1C2BE3">
        <w:rPr>
          <w:rFonts w:ascii="Times New Roman" w:eastAsia="Times New Roman" w:hAnsi="Times New Roman" w:cs="Times New Roman"/>
          <w:sz w:val="28"/>
          <w:szCs w:val="28"/>
        </w:rPr>
        <w:t>https://github.com/ArtemKhvorostianyi/WEB</w:t>
      </w:r>
    </w:p>
    <w:p w:rsidR="004A4984" w:rsidRDefault="004A4984" w:rsidP="004A498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A4984" w:rsidRDefault="004A4984" w:rsidP="004A49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Перевірив:</w:t>
      </w:r>
    </w:p>
    <w:p w:rsidR="004A4984" w:rsidRDefault="004A4984" w:rsidP="004A4984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Недашківський О.Л.</w:t>
      </w:r>
    </w:p>
    <w:p w:rsidR="00CC3260" w:rsidRDefault="00CC326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CC3260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3260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Київ 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:rsidR="00CC3260" w:rsidRDefault="00CC3260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C3260" w:rsidRPr="005E2205" w:rsidRDefault="00000000" w:rsidP="005E220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</w:t>
      </w:r>
      <w:r>
        <w:rPr>
          <w:rFonts w:ascii="Times New Roman" w:eastAsia="Times New Roman" w:hAnsi="Times New Roman" w:cs="Times New Roman"/>
          <w:sz w:val="28"/>
          <w:szCs w:val="28"/>
        </w:rPr>
        <w:t>. Створіть веб калькулятор розрахунку прибутку від сонячних електростанцій з встановленою системою прогнозування сонячної потужності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виконання:</w:t>
      </w:r>
    </w:p>
    <w:p w:rsidR="00CC3260" w:rsidRDefault="00CC3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ринку електроенергії виробники зобов’язані подавати прогнозовані значення генерації. Якщо фактична потужність відрізняється від прогнозованої більше ніж на допустиме значення, виникає небаланс. За такі небаланси виробники електроенергії сплачують штрафи.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даній задачі похибка прогнозування потужності вважається випадковою величиною, яка підпорядковується нормальному закону розподілу. Його густина ймовірності визначається формулою: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755775" cy="563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CC3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де:</w:t>
      </w:r>
      <w:r>
        <w:rPr>
          <w:rFonts w:ascii="Times New Roman" w:hAnsi="Times New Roman" w:cs="Times New Roman"/>
          <w:sz w:val="28"/>
          <w:szCs w:val="28"/>
        </w:rPr>
        <w:br/>
        <w:t>Pc​ – середня потужність електростанції;</w:t>
      </w:r>
      <w:r>
        <w:rPr>
          <w:rFonts w:ascii="Times New Roman" w:hAnsi="Times New Roman" w:cs="Times New Roman"/>
          <w:sz w:val="28"/>
          <w:szCs w:val="28"/>
        </w:rPr>
        <w:br/>
        <w:t>σ – середньоквадратичне відхилення похибки прогнозу;</w:t>
      </w:r>
      <w:r>
        <w:rPr>
          <w:rFonts w:ascii="Times New Roman" w:hAnsi="Times New Roman" w:cs="Times New Roman"/>
          <w:sz w:val="28"/>
          <w:szCs w:val="28"/>
        </w:rPr>
        <w:br/>
        <w:t>p – випадкове значення потужності.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Допустимий діапазон відхилення прогнозу становить ±5% від середньої потужності: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64310" cy="312420"/>
            <wp:effectExtent l="0" t="0" r="0" b="0"/>
            <wp:docPr id="2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Ймовірність того, що фактична потужність знаходиться в цьому діапазоні, визначається інтегруванням густини нормального розподілу: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979930" cy="624840"/>
            <wp:effectExtent l="0" t="0" r="0" b="0"/>
            <wp:docPr id="3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Отримане значення показує частку електроенергії, що генерується без небалансів.</w:t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Добова генерація електроенергії визначається за формулою: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 = Pc ​</w:t>
      </w:r>
      <w:r>
        <w:rPr>
          <w:rFonts w:ascii="Cambria Math" w:hAnsi="Cambria Math" w:cs="Cambria Math"/>
          <w:sz w:val="28"/>
          <w:szCs w:val="28"/>
        </w:rPr>
        <w:t xml:space="preserve">⋅ </w:t>
      </w:r>
      <w:r>
        <w:rPr>
          <w:rFonts w:ascii="Times New Roman" w:hAnsi="Times New Roman" w:cs="Times New Roman"/>
          <w:sz w:val="28"/>
          <w:szCs w:val="28"/>
        </w:rPr>
        <w:t>24</w:t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Кількість енергії без штрафів: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93520" cy="313690"/>
            <wp:effectExtent l="0" t="0" r="0" b="0"/>
            <wp:docPr id="4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Енергія з небалансом: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546860" cy="335915"/>
            <wp:effectExtent l="0" t="0" r="0" b="0"/>
            <wp:docPr id="5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Прибуток від продажу електроенергії:</w:t>
      </w:r>
    </w:p>
    <w:p w:rsidR="00CC3260" w:rsidRDefault="000000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 = W </w:t>
      </w:r>
      <w:r>
        <w:rPr>
          <w:rFonts w:ascii="Cambria Math" w:hAnsi="Cambria Math" w:cs="Cambria Math"/>
          <w:sz w:val="28"/>
          <w:szCs w:val="28"/>
        </w:rPr>
        <w:t xml:space="preserve">⋅ </w:t>
      </w:r>
      <w:r>
        <w:rPr>
          <w:rFonts w:ascii="Times New Roman" w:hAnsi="Times New Roman" w:cs="Times New Roman"/>
          <w:sz w:val="28"/>
          <w:szCs w:val="28"/>
        </w:rPr>
        <w:t>B</w:t>
      </w:r>
    </w:p>
    <w:p w:rsidR="00CC3260" w:rsidRDefault="00CC3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 B – вартість електроенергії.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чином, покращення системи прогнозування, що зменшує стандартне відхилення похибки, збільшує частку енергії без небалансів і, відповідно, підвищує прибутковість сонячної електростанції.</w:t>
      </w:r>
    </w:p>
    <w:p w:rsidR="00CC3260" w:rsidRDefault="00CC3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 програмної реалізації.</w:t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Інтерфейс програми складається з полів введення, у які користувач вводить основні параметри системи:</w:t>
      </w:r>
    </w:p>
    <w:p w:rsidR="00CC3260" w:rsidRDefault="00000000">
      <w:pPr>
        <w:numPr>
          <w:ilvl w:val="0"/>
          <w:numId w:val="1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середню потужність сонячної електростанції;</w:t>
      </w:r>
    </w:p>
    <w:p w:rsidR="00CC3260" w:rsidRDefault="00000000">
      <w:pPr>
        <w:numPr>
          <w:ilvl w:val="0"/>
          <w:numId w:val="1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вартість електроенергії;</w:t>
      </w:r>
    </w:p>
    <w:p w:rsidR="00CC3260" w:rsidRDefault="00000000">
      <w:pPr>
        <w:numPr>
          <w:ilvl w:val="0"/>
          <w:numId w:val="1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початкову похибку прогнозування;</w:t>
      </w:r>
    </w:p>
    <w:p w:rsidR="00CC3260" w:rsidRDefault="00000000">
      <w:pPr>
        <w:numPr>
          <w:ilvl w:val="0"/>
          <w:numId w:val="1"/>
        </w:numPr>
        <w:tabs>
          <w:tab w:val="clear" w:pos="720"/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похибку після покращення системи прогнозу.</w:t>
      </w:r>
    </w:p>
    <w:p w:rsidR="00CC3260" w:rsidRDefault="00000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Після натискання кнопки «Розрахувати» викликається функція calc(), яка виконує всі математичні обчислення та виводить покроковий результат.</w:t>
      </w:r>
    </w:p>
    <w:p w:rsidR="00CC3260" w:rsidRDefault="005E2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22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614B43" wp14:editId="79E890F4">
            <wp:extent cx="5940425" cy="2868930"/>
            <wp:effectExtent l="0" t="0" r="3175" b="1270"/>
            <wp:docPr id="39730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04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CC326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Основою розрахунку є функція густини нормального розподілу, яка реалізована у програмі: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CC3260">
        <w:tc>
          <w:tcPr>
            <w:tcW w:w="9345" w:type="dxa"/>
          </w:tcPr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нормальний розподіл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func normalPDF(x, mean, sigma float64) float64 {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return (1 / (sigma * math.Sqrt(2*math.Pi))) *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math.Exp(-math.Pow(x-mean, 2)/(2*sigma*sigma))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Ця функція обчислює значення густини ймовірності для заданого значення потужності.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знаходження частки енергії без небалансів використовується чисельне інтегрування методом прямокутників: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CC3260">
        <w:tc>
          <w:tcPr>
            <w:tcW w:w="9345" w:type="dxa"/>
          </w:tcPr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// чисельний інтеграл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func integrate(mean, sigma, a, b float64) float64 {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steps := 10000.0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h := (b - a) / steps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sum := 0.0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for i := 0.0; i &lt; steps; i++ {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x := a + i*h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sum += normalPDF(x, mean, sigma) * h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return sum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Функція інтегрує нормальний розподіл у заданому діапазоні потужності та повертає ймовірність того, що фактична генерація знаходиться в межах допустимого відхилення.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 функція програми calc() виконує такі дії: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Зчитує значення параметрів з полів введення.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Визначає допустимий діапазон потужності.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Обчислює частку енергії без небалансів до та після покращення прогнозу.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Визначає загальний обсяг добової генерації.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Розраховує обсяг енергії без штрафів та з небалансами.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Обчислює прибуток та штрафи.</w:t>
      </w:r>
    </w:p>
    <w:p w:rsidR="00CC3260" w:rsidRDefault="00000000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Виводить покроковий результат розрахунків на сторінку.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 основної функції:</w:t>
      </w:r>
    </w:p>
    <w:tbl>
      <w:tblPr>
        <w:tblStyle w:val="TableGrid"/>
        <w:tblW w:w="9345" w:type="dxa"/>
        <w:tblLayout w:type="fixed"/>
        <w:tblLook w:val="04A0" w:firstRow="1" w:lastRow="0" w:firstColumn="1" w:lastColumn="0" w:noHBand="0" w:noVBand="1"/>
      </w:tblPr>
      <w:tblGrid>
        <w:gridCol w:w="9345"/>
      </w:tblGrid>
      <w:tr w:rsidR="00CC3260">
        <w:tc>
          <w:tcPr>
            <w:tcW w:w="9345" w:type="dxa"/>
          </w:tcPr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func handler(w http.ResponseWriter, r *http.Request) {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tmpl := template.Must(template.ParseFiles("index.html"))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data := Result{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Pc: 5, Price: 7, Sigma1: 1, Sigma2: 0.25,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if r.Method == http.MethodPost {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data.Pc = parseFloat(r, "pc")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data.Price = parseFloat(r, "price")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data.Sigma1 = parseFloat(r, "sigma1")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data.Sigma2 = parseFloat(r, "sigma2")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data.A = data.Pc * 0.95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data.B = data.Pc * 1.05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w1 := integrate(data.Pc, data.Sigma1, data.A, data.B)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w2 := integrate(data.Pc, data.Sigma2, data.A, data.B)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data.EnergyTotal = data.Pc * 24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data.W1 = data.EnergyTotal * w1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data.W2 = data.EnergyTotal * (1 - w1)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data.P1 = data.W1 * data.Price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data.S1 = data.W2 * data.Price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data.W3 = data.EnergyTotal * w2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data.W4 = data.EnergyTotal * (1 - w2)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data.P2 = data.W3 * data.Price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data.S2 = data.W4 * data.Price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data.Profit = data.P2 - data.S2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ab/>
              <w:t>data.Show = true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:rsidR="00CC3260" w:rsidRDefault="00CC326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ab/>
              <w:t>tmpl.Execute(w, data)</w:t>
            </w:r>
          </w:p>
          <w:p w:rsidR="00CC3260" w:rsidRDefault="0000000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Отримані результати виводяться у вигляді покрокового розрахунку, що дозволяє користувачеві простежити всі етапи визначення прибутку сонячної електростанції.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виконання обчислень:</w:t>
      </w:r>
    </w:p>
    <w:p w:rsidR="00CC326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Задання вхідних параментів:</w:t>
      </w:r>
    </w:p>
    <w:p w:rsidR="00CC3260" w:rsidRDefault="005E2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22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CA8C12" wp14:editId="31EDAEA8">
            <wp:extent cx="5940425" cy="2868930"/>
            <wp:effectExtent l="0" t="0" r="3175" b="1270"/>
            <wp:docPr id="158563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34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Default="00CC3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3260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Результати обчислень з покроковим виведенням:</w:t>
      </w:r>
    </w:p>
    <w:p w:rsidR="00CC3260" w:rsidRDefault="00CC32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3260" w:rsidRDefault="005E220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22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65A320" wp14:editId="0FE2EC16">
            <wp:extent cx="5940425" cy="3231515"/>
            <wp:effectExtent l="0" t="0" r="3175" b="0"/>
            <wp:docPr id="92602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4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60" w:rsidRPr="005E2205" w:rsidRDefault="00CC326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C3260" w:rsidRPr="005E2205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2205">
        <w:rPr>
          <w:rFonts w:ascii="Times New Roman" w:hAnsi="Times New Roman" w:cs="Times New Roman"/>
          <w:b/>
          <w:bCs/>
          <w:sz w:val="28"/>
          <w:szCs w:val="28"/>
        </w:rPr>
        <w:t>Висвноки:</w:t>
      </w:r>
    </w:p>
    <w:p w:rsidR="00CC3260" w:rsidRDefault="005E2205" w:rsidP="005E220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2205">
        <w:rPr>
          <w:rFonts w:ascii="Times New Roman" w:hAnsi="Times New Roman" w:cs="Times New Roman"/>
          <w:sz w:val="28"/>
          <w:szCs w:val="28"/>
        </w:rPr>
        <w:t>Підвищення точності системи прогнозування генерації сонячної електроенергії істотно збільшує обсяг енергії, відпущеної без небалансів, що сприяє зменшенню штрафних санкцій і зростанню прибутковості сонячної електростанції. Представлення розрахунків у форматі вебкалькулятора забезпечує наочне відображення впливу похибки прогнозування на фінансові показники.</w:t>
      </w:r>
    </w:p>
    <w:sectPr w:rsidR="00CC3260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2B6"/>
    <w:multiLevelType w:val="multilevel"/>
    <w:tmpl w:val="921C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5B5964"/>
    <w:multiLevelType w:val="multilevel"/>
    <w:tmpl w:val="120C9B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C1052E6"/>
    <w:multiLevelType w:val="multilevel"/>
    <w:tmpl w:val="728247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84182213">
    <w:abstractNumId w:val="2"/>
  </w:num>
  <w:num w:numId="2" w16cid:durableId="1201867878">
    <w:abstractNumId w:val="0"/>
  </w:num>
  <w:num w:numId="3" w16cid:durableId="191886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60"/>
    <w:rsid w:val="000414AC"/>
    <w:rsid w:val="004A4984"/>
    <w:rsid w:val="005E2205"/>
    <w:rsid w:val="00C30222"/>
    <w:rsid w:val="00CC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8ED577FE-C829-3D47-B07F-D27CC50C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96"/>
    <w:pPr>
      <w:spacing w:after="200" w:line="276" w:lineRule="auto"/>
    </w:pPr>
    <w:rPr>
      <w:rFonts w:ascii="Calibri" w:eastAsia="Calibri" w:hAnsi="Calibri" w:cs="Calibri"/>
      <w:kern w:val="0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25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25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25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25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25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25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25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25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25C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25C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25C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5CF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25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CFD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C7492"/>
    <w:rPr>
      <w:rFonts w:ascii="Calibri" w:eastAsia="Calibri" w:hAnsi="Calibri" w:cs="Calibri"/>
      <w:kern w:val="0"/>
      <w:lang w:eastAsia="uk-U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C7492"/>
    <w:rPr>
      <w:rFonts w:ascii="Calibri" w:eastAsia="Calibri" w:hAnsi="Calibri" w:cs="Calibri"/>
      <w:kern w:val="0"/>
      <w:lang w:eastAsia="uk-UA"/>
      <w14:ligatures w14:val="none"/>
    </w:rPr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a0">
    <w:name w:val="Покажчик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625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C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C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C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1">
    <w:name w:val="Верхній і нижній колонтитули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C7492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C7492"/>
    <w:pPr>
      <w:tabs>
        <w:tab w:val="center" w:pos="4677"/>
        <w:tab w:val="right" w:pos="9355"/>
      </w:tabs>
      <w:spacing w:after="0" w:line="240" w:lineRule="auto"/>
    </w:pPr>
  </w:style>
  <w:style w:type="table" w:styleId="TableGrid">
    <w:name w:val="Table Grid"/>
    <w:basedOn w:val="TableNormal"/>
    <w:uiPriority w:val="39"/>
    <w:rsid w:val="00682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850A4-AF6C-4D48-9B0F-F915AB746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Khvorost</dc:creator>
  <dc:description/>
  <cp:lastModifiedBy>Artem Khvorost</cp:lastModifiedBy>
  <cp:revision>3</cp:revision>
  <dcterms:created xsi:type="dcterms:W3CDTF">2026-04-05T18:15:00Z</dcterms:created>
  <dcterms:modified xsi:type="dcterms:W3CDTF">2026-04-05T18:38:00Z</dcterms:modified>
  <dc:language>uk-UA</dc:language>
</cp:coreProperties>
</file>