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CA" w:rsidRDefault="00AB17CA" w:rsidP="00AB17CA">
      <w:pPr>
        <w:spacing w:line="360" w:lineRule="auto"/>
        <w:ind w:firstLine="425"/>
        <w:jc w:val="both"/>
      </w:pPr>
      <w:r>
        <w:t xml:space="preserve">При измерениях на </w:t>
      </w:r>
      <w:proofErr w:type="spellStart"/>
      <w:r>
        <w:t>цитометре</w:t>
      </w:r>
      <w:proofErr w:type="spellEnd"/>
      <w:r>
        <w:t xml:space="preserve"> мы получаем индикатрисы светорассеяния одиночных клеток (тромбоцитов). Индикатриса зависит от размера, формы и показателя преломления клетки. Обратная задача светорассеяния – это задача нахождения параметров клетки по индикатрисе. Для решения обратной задачи необходимо сравнивать экспериментальные сигналы с </w:t>
      </w:r>
      <w:proofErr w:type="gramStart"/>
      <w:r>
        <w:t>теоретическими</w:t>
      </w:r>
      <w:proofErr w:type="gramEnd"/>
      <w:r>
        <w:t>, посчитанными для разных параметров.</w:t>
      </w:r>
    </w:p>
    <w:p w:rsidR="00E606A5" w:rsidRDefault="00AB17CA" w:rsidP="00AB17CA">
      <w:pPr>
        <w:spacing w:line="360" w:lineRule="auto"/>
        <w:ind w:firstLine="425"/>
        <w:jc w:val="both"/>
      </w:pPr>
      <w:r>
        <w:t xml:space="preserve">Мерой близости теоретической и экспериментальной индикатрис </w:t>
      </w:r>
      <w:r>
        <w:t xml:space="preserve">может являться, например, </w:t>
      </w:r>
      <w:r w:rsidRPr="00AB17CA">
        <w:t>L2-</w:t>
      </w:r>
      <w:r>
        <w:t>норма разности</w:t>
      </w:r>
      <w:r w:rsidRPr="00AB17CA">
        <w:t xml:space="preserve"> </w:t>
      </w:r>
      <w:r>
        <w:t>теоретического и экспериментального сигналов.</w:t>
      </w:r>
    </w:p>
    <w:p w:rsidR="00AB17CA" w:rsidRPr="00AB17CA" w:rsidRDefault="00AB17CA" w:rsidP="00AB17CA">
      <w:pPr>
        <w:spacing w:line="360" w:lineRule="auto"/>
        <w:ind w:firstLine="425"/>
        <w:jc w:val="both"/>
      </w:pPr>
      <w:r w:rsidRPr="00AB17CA">
        <w:t>Тромбоциты представляют собой дисковидные клетки</w:t>
      </w:r>
      <w:proofErr w:type="gramStart"/>
      <w:r w:rsidRPr="00AB17CA">
        <w:t xml:space="preserve"> [</w:t>
      </w:r>
      <w:bookmarkStart w:id="0" w:name="_Ref297157191"/>
      <w:r w:rsidRPr="00AB17CA">
        <w:endnoteReference w:id="1"/>
      </w:r>
      <w:bookmarkEnd w:id="0"/>
      <w:r w:rsidRPr="00AB17CA">
        <w:t xml:space="preserve">]. </w:t>
      </w:r>
      <w:proofErr w:type="gramEnd"/>
      <w:r w:rsidRPr="00AB17CA">
        <w:t>В качестве оптической модели тромбоцита была взята форма сплюснутого сфероида. Для такой формы можно рассчитывать индикатрисы светорассеяния различными методами. В данной работе использовался метод дискретных диполей</w:t>
      </w:r>
      <w:proofErr w:type="gramStart"/>
      <w:r w:rsidRPr="00AB17CA">
        <w:t xml:space="preserve"> [</w:t>
      </w:r>
      <w:r w:rsidRPr="00AB17CA">
        <w:endnoteReference w:id="2"/>
      </w:r>
      <w:r w:rsidRPr="00AB17CA">
        <w:t xml:space="preserve">]. </w:t>
      </w:r>
      <w:proofErr w:type="gramEnd"/>
      <w:r w:rsidRPr="00AB17CA">
        <w:t>Расчет одной индикатрисы данным методом для типичного тромбоцита занимает порядка 1 мин.</w:t>
      </w:r>
    </w:p>
    <w:p w:rsidR="00AB17CA" w:rsidRPr="00AB17CA" w:rsidRDefault="00AB17CA" w:rsidP="00AB17CA">
      <w:pPr>
        <w:spacing w:line="360" w:lineRule="auto"/>
        <w:ind w:firstLine="425"/>
        <w:jc w:val="both"/>
      </w:pPr>
      <w:r w:rsidRPr="00AB17CA">
        <w:t>Выбранная оптическая модель тромбоцита может быть описана четырьмя параметрами, например:</w:t>
      </w:r>
    </w:p>
    <w:p w:rsidR="00AB17CA" w:rsidRPr="000C3CF4" w:rsidRDefault="00AB17CA" w:rsidP="00AB17CA">
      <w:pPr>
        <w:pStyle w:val="a6"/>
        <w:numPr>
          <w:ilvl w:val="0"/>
          <w:numId w:val="2"/>
        </w:numPr>
        <w:spacing w:line="360" w:lineRule="auto"/>
        <w:jc w:val="both"/>
        <w:rPr>
          <w:rFonts w:eastAsia="MS Mincho"/>
        </w:rPr>
      </w:pPr>
      <m:oMath>
        <m:sSub>
          <m:sSubPr>
            <m:ctrlPr>
              <w:rPr>
                <w:rFonts w:ascii="Cambria Math" w:eastAsia="MS Mincho" w:hAnsi="Cambria Math"/>
              </w:rPr>
            </m:ctrlPr>
          </m:sSubPr>
          <m:e>
            <m:r>
              <w:rPr>
                <w:rFonts w:ascii="Cambria Math" w:eastAsia="MS Mincho" w:hAnsi="Cambria Math"/>
              </w:rPr>
              <m:t>r</m:t>
            </m:r>
          </m:e>
          <m:sub>
            <m:r>
              <w:rPr>
                <w:rFonts w:ascii="Cambria Math" w:eastAsia="MS Mincho" w:hAnsi="Cambria Math"/>
              </w:rPr>
              <m:t>ev</m:t>
            </m:r>
          </m:sub>
        </m:sSub>
      </m:oMath>
      <w:r w:rsidRPr="000C3CF4">
        <w:rPr>
          <w:rFonts w:eastAsia="MS Mincho"/>
        </w:rPr>
        <w:t xml:space="preserve"> – радиус сферы эквивалентного объема</w:t>
      </w:r>
    </w:p>
    <w:p w:rsidR="00AB17CA" w:rsidRPr="000C3CF4" w:rsidRDefault="00AB17CA" w:rsidP="00AB17CA">
      <w:pPr>
        <w:pStyle w:val="a6"/>
        <w:numPr>
          <w:ilvl w:val="0"/>
          <w:numId w:val="2"/>
        </w:numPr>
        <w:spacing w:line="360" w:lineRule="auto"/>
        <w:jc w:val="both"/>
        <w:rPr>
          <w:rFonts w:eastAsia="MS Mincho"/>
        </w:rPr>
      </w:pPr>
      <m:oMath>
        <m:r>
          <w:rPr>
            <w:rFonts w:ascii="Cambria Math" w:eastAsia="MS Mincho" w:hAnsi="Cambria Math"/>
          </w:rPr>
          <m:t>ε</m:t>
        </m:r>
      </m:oMath>
      <w:r w:rsidRPr="000C3CF4">
        <w:rPr>
          <w:rFonts w:eastAsia="MS Mincho"/>
        </w:rPr>
        <w:t xml:space="preserve"> – отношение большой полуоси к малой</w:t>
      </w:r>
    </w:p>
    <w:p w:rsidR="00AB17CA" w:rsidRPr="000C3CF4" w:rsidRDefault="00AB17CA" w:rsidP="00AB17CA">
      <w:pPr>
        <w:pStyle w:val="a6"/>
        <w:numPr>
          <w:ilvl w:val="0"/>
          <w:numId w:val="2"/>
        </w:numPr>
        <w:spacing w:line="360" w:lineRule="auto"/>
        <w:jc w:val="both"/>
        <w:rPr>
          <w:rFonts w:eastAsia="MS Mincho"/>
        </w:rPr>
      </w:pPr>
      <m:oMath>
        <m:r>
          <w:rPr>
            <w:rFonts w:ascii="Cambria Math" w:eastAsia="MS Mincho" w:hAnsi="Cambria Math"/>
          </w:rPr>
          <m:t>n</m:t>
        </m:r>
      </m:oMath>
      <w:r w:rsidRPr="000C3CF4">
        <w:rPr>
          <w:rFonts w:eastAsia="MS Mincho"/>
        </w:rPr>
        <w:t xml:space="preserve"> – показатель преломления</w:t>
      </w:r>
    </w:p>
    <w:p w:rsidR="00AB17CA" w:rsidRPr="00AB17CA" w:rsidRDefault="00AB17CA" w:rsidP="00AB17CA">
      <w:pPr>
        <w:pStyle w:val="a6"/>
        <w:numPr>
          <w:ilvl w:val="0"/>
          <w:numId w:val="2"/>
        </w:numPr>
        <w:spacing w:line="360" w:lineRule="auto"/>
        <w:jc w:val="both"/>
        <w:rPr>
          <w:rFonts w:eastAsia="MS Mincho"/>
          <w:lang w:val="en-US"/>
        </w:rPr>
      </w:pPr>
      <m:oMath>
        <m:r>
          <w:rPr>
            <w:rFonts w:ascii="Cambria Math" w:eastAsia="MS Mincho" w:hAnsi="Cambria Math"/>
          </w:rPr>
          <m:t>β</m:t>
        </m:r>
      </m:oMath>
      <w:r w:rsidRPr="000C3CF4">
        <w:rPr>
          <w:rFonts w:eastAsia="MS Mincho"/>
        </w:rPr>
        <w:t xml:space="preserve"> – угол между направлением падения излучения и осью симметрии сфероида.</w:t>
      </w:r>
    </w:p>
    <w:p w:rsidR="00AB17CA" w:rsidRDefault="00AB17CA" w:rsidP="00AB17CA">
      <w:pPr>
        <w:spacing w:line="360" w:lineRule="auto"/>
        <w:ind w:firstLine="425"/>
        <w:jc w:val="both"/>
      </w:pPr>
      <w:r>
        <w:t>При</w:t>
      </w:r>
      <w:r w:rsidRPr="00AB17CA">
        <w:t xml:space="preserve"> </w:t>
      </w:r>
      <w:r>
        <w:t>расчетах</w:t>
      </w:r>
      <w:r w:rsidRPr="00AB17CA">
        <w:t xml:space="preserve"> </w:t>
      </w:r>
      <w:r>
        <w:t>методом</w:t>
      </w:r>
      <w:r w:rsidRPr="00AB17CA">
        <w:t xml:space="preserve"> </w:t>
      </w:r>
      <w:r>
        <w:rPr>
          <w:lang w:val="en-US"/>
        </w:rPr>
        <w:t>DDA</w:t>
      </w:r>
      <w:r w:rsidRPr="00AB17CA">
        <w:t xml:space="preserve"> </w:t>
      </w:r>
      <w:r>
        <w:t>рассеивающий</w:t>
      </w:r>
      <w:r w:rsidRPr="00AB17CA">
        <w:t xml:space="preserve"> </w:t>
      </w:r>
      <w:r>
        <w:t>объект</w:t>
      </w:r>
      <w:r w:rsidRPr="00AB17CA">
        <w:t xml:space="preserve"> </w:t>
      </w:r>
      <w:r>
        <w:t>делится</w:t>
      </w:r>
      <w:r w:rsidRPr="00AB17CA">
        <w:t xml:space="preserve"> </w:t>
      </w:r>
      <w:r>
        <w:t>на</w:t>
      </w:r>
      <w:r w:rsidRPr="00AB17CA">
        <w:t xml:space="preserve"> </w:t>
      </w:r>
      <w:r>
        <w:t>одинаковые</w:t>
      </w:r>
      <w:r w:rsidRPr="00AB17CA">
        <w:t xml:space="preserve"> </w:t>
      </w:r>
      <w:r>
        <w:t>диполи</w:t>
      </w:r>
      <w:r w:rsidRPr="00AB17CA">
        <w:t xml:space="preserve">, </w:t>
      </w:r>
      <w:r>
        <w:t>размер которых должен быть много меньше длины волны</w:t>
      </w:r>
      <w:r w:rsidRPr="00AB17CA">
        <w:t xml:space="preserve">. </w:t>
      </w:r>
      <w:r>
        <w:t>Обычно достаточно 10 диполей на длину волны</w:t>
      </w:r>
      <w:r w:rsidR="008634D2">
        <w:t xml:space="preserve"> в среде</w:t>
      </w:r>
      <w:r w:rsidRPr="00AB17CA">
        <w:t xml:space="preserve">. </w:t>
      </w:r>
      <w:r>
        <w:t>В наших вычислениях использовалось 12</w:t>
      </w:r>
      <w:r w:rsidRPr="00AB17CA">
        <w:t>.</w:t>
      </w:r>
      <w:r>
        <w:t xml:space="preserve"> Если же малая ось сфероида была меньше длины волны, то использовалось 12 диполей на ось, чтобы более аккуратно описать форму частицы.</w:t>
      </w:r>
    </w:p>
    <w:p w:rsidR="00AB17CA" w:rsidRDefault="00AB17CA" w:rsidP="00AB17CA">
      <w:pPr>
        <w:spacing w:line="360" w:lineRule="auto"/>
        <w:ind w:firstLine="425"/>
        <w:jc w:val="both"/>
      </w:pPr>
      <w:r>
        <w:t xml:space="preserve">Для расчетов использовалась программа </w:t>
      </w:r>
      <w:r>
        <w:rPr>
          <w:lang w:val="en-US"/>
        </w:rPr>
        <w:t>ADDA</w:t>
      </w:r>
      <w:r w:rsidRPr="00AB17CA">
        <w:t xml:space="preserve"> (</w:t>
      </w:r>
      <w:hyperlink r:id="rId8" w:history="1">
        <w:r w:rsidRPr="00675133">
          <w:rPr>
            <w:rStyle w:val="ab"/>
            <w:lang w:val="en-US"/>
          </w:rPr>
          <w:t>http</w:t>
        </w:r>
        <w:r w:rsidRPr="00675133">
          <w:rPr>
            <w:rStyle w:val="ab"/>
          </w:rPr>
          <w:t>://</w:t>
        </w:r>
        <w:r w:rsidRPr="00675133">
          <w:rPr>
            <w:rStyle w:val="ab"/>
            <w:lang w:val="en-US"/>
          </w:rPr>
          <w:t>code</w:t>
        </w:r>
        <w:r w:rsidRPr="00675133">
          <w:rPr>
            <w:rStyle w:val="ab"/>
          </w:rPr>
          <w:t>.</w:t>
        </w:r>
        <w:proofErr w:type="spellStart"/>
        <w:r w:rsidRPr="00675133">
          <w:rPr>
            <w:rStyle w:val="ab"/>
            <w:lang w:val="en-US"/>
          </w:rPr>
          <w:t>google</w:t>
        </w:r>
        <w:proofErr w:type="spellEnd"/>
        <w:r w:rsidRPr="00675133">
          <w:rPr>
            <w:rStyle w:val="ab"/>
          </w:rPr>
          <w:t>.</w:t>
        </w:r>
        <w:r w:rsidRPr="00675133">
          <w:rPr>
            <w:rStyle w:val="ab"/>
            <w:lang w:val="en-US"/>
          </w:rPr>
          <w:t>com</w:t>
        </w:r>
        <w:r w:rsidRPr="00675133">
          <w:rPr>
            <w:rStyle w:val="ab"/>
          </w:rPr>
          <w:t>/</w:t>
        </w:r>
        <w:r w:rsidRPr="00675133">
          <w:rPr>
            <w:rStyle w:val="ab"/>
            <w:lang w:val="en-US"/>
          </w:rPr>
          <w:t>p</w:t>
        </w:r>
        <w:r w:rsidRPr="00675133">
          <w:rPr>
            <w:rStyle w:val="ab"/>
          </w:rPr>
          <w:t>/</w:t>
        </w:r>
        <w:r w:rsidRPr="00675133">
          <w:rPr>
            <w:rStyle w:val="ab"/>
            <w:lang w:val="en-US"/>
          </w:rPr>
          <w:t>a</w:t>
        </w:r>
        <w:r w:rsidRPr="00675133">
          <w:rPr>
            <w:rStyle w:val="ab"/>
          </w:rPr>
          <w:t>-</w:t>
        </w:r>
        <w:proofErr w:type="spellStart"/>
        <w:r w:rsidRPr="00675133">
          <w:rPr>
            <w:rStyle w:val="ab"/>
            <w:lang w:val="en-US"/>
          </w:rPr>
          <w:t>dda</w:t>
        </w:r>
        <w:proofErr w:type="spellEnd"/>
        <w:r w:rsidRPr="00675133">
          <w:rPr>
            <w:rStyle w:val="ab"/>
          </w:rPr>
          <w:t>/</w:t>
        </w:r>
      </w:hyperlink>
      <w:r w:rsidRPr="00AB17CA">
        <w:t xml:space="preserve">). </w:t>
      </w:r>
      <w:r>
        <w:t>Типичная командная строка выглядела так:</w:t>
      </w:r>
    </w:p>
    <w:p w:rsidR="00AB17CA" w:rsidRDefault="00AB17CA" w:rsidP="00AB17CA">
      <w:pPr>
        <w:spacing w:line="360" w:lineRule="auto"/>
        <w:ind w:firstLine="425"/>
        <w:jc w:val="both"/>
        <w:rPr>
          <w:rFonts w:ascii="Courier New" w:eastAsiaTheme="minorHAnsi" w:hAnsi="Courier New" w:cs="Courier New"/>
          <w:sz w:val="21"/>
          <w:szCs w:val="21"/>
          <w:lang w:eastAsia="en-US"/>
        </w:rPr>
      </w:pPr>
      <w:proofErr w:type="spellStart"/>
      <w:proofErr w:type="gramStart"/>
      <w:r w:rsidRPr="00AB17CA">
        <w:rPr>
          <w:rFonts w:ascii="Courier New" w:eastAsiaTheme="minorHAnsi" w:hAnsi="Courier New" w:cs="Courier New"/>
          <w:sz w:val="21"/>
          <w:szCs w:val="21"/>
          <w:lang w:val="en-US" w:eastAsia="en-US"/>
        </w:rPr>
        <w:t>adda</w:t>
      </w:r>
      <w:proofErr w:type="spellEnd"/>
      <w:proofErr w:type="gramEnd"/>
      <w:r w:rsidRPr="00AB17CA">
        <w:rPr>
          <w:rFonts w:ascii="Courier New" w:eastAsiaTheme="minorHAnsi" w:hAnsi="Courier New" w:cs="Courier New"/>
          <w:sz w:val="21"/>
          <w:szCs w:val="21"/>
          <w:lang w:val="en-US" w:eastAsia="en-US"/>
        </w:rPr>
        <w:t xml:space="preserve"> -shape ellipsoid 1 ASPRAT -lambda WLEN -size DIAM -m REL_REF_INDEX 0.00000 -scat_grid_</w:t>
      </w:r>
      <w:proofErr w:type="spellStart"/>
      <w:r w:rsidRPr="00AB17CA">
        <w:rPr>
          <w:rFonts w:ascii="Courier New" w:eastAsiaTheme="minorHAnsi" w:hAnsi="Courier New" w:cs="Courier New"/>
          <w:sz w:val="21"/>
          <w:szCs w:val="21"/>
          <w:lang w:val="en-US" w:eastAsia="en-US"/>
        </w:rPr>
        <w:t>inp</w:t>
      </w:r>
      <w:proofErr w:type="spellEnd"/>
      <w:r w:rsidRPr="00AB17CA">
        <w:rPr>
          <w:rFonts w:ascii="Courier New" w:eastAsiaTheme="minorHAnsi" w:hAnsi="Courier New" w:cs="Courier New"/>
          <w:sz w:val="21"/>
          <w:szCs w:val="21"/>
          <w:lang w:val="en-US" w:eastAsia="en-US"/>
        </w:rPr>
        <w:t xml:space="preserve"> 1.txt -phi_</w:t>
      </w:r>
      <w:proofErr w:type="spellStart"/>
      <w:r w:rsidRPr="00AB17CA">
        <w:rPr>
          <w:rFonts w:ascii="Courier New" w:eastAsiaTheme="minorHAnsi" w:hAnsi="Courier New" w:cs="Courier New"/>
          <w:sz w:val="21"/>
          <w:szCs w:val="21"/>
          <w:lang w:val="en-US" w:eastAsia="en-US"/>
        </w:rPr>
        <w:t>integr</w:t>
      </w:r>
      <w:proofErr w:type="spellEnd"/>
      <w:r w:rsidRPr="00AB17CA">
        <w:rPr>
          <w:rFonts w:ascii="Courier New" w:eastAsiaTheme="minorHAnsi" w:hAnsi="Courier New" w:cs="Courier New"/>
          <w:sz w:val="21"/>
          <w:szCs w:val="21"/>
          <w:lang w:val="en-US" w:eastAsia="en-US"/>
        </w:rPr>
        <w:t xml:space="preserve"> 7 -</w:t>
      </w:r>
      <w:proofErr w:type="spellStart"/>
      <w:r w:rsidRPr="00AB17CA">
        <w:rPr>
          <w:rFonts w:ascii="Courier New" w:eastAsiaTheme="minorHAnsi" w:hAnsi="Courier New" w:cs="Courier New"/>
          <w:sz w:val="21"/>
          <w:szCs w:val="21"/>
          <w:lang w:val="en-US" w:eastAsia="en-US"/>
        </w:rPr>
        <w:t>dir</w:t>
      </w:r>
      <w:proofErr w:type="spellEnd"/>
      <w:r w:rsidRPr="00AB17CA">
        <w:rPr>
          <w:rFonts w:ascii="Courier New" w:eastAsiaTheme="minorHAnsi" w:hAnsi="Courier New" w:cs="Courier New"/>
          <w:sz w:val="21"/>
          <w:szCs w:val="21"/>
          <w:lang w:val="en-US" w:eastAsia="en-US"/>
        </w:rPr>
        <w:t xml:space="preserve"> DIRECTORY -orient 0 BETA 0 -</w:t>
      </w:r>
      <w:proofErr w:type="spellStart"/>
      <w:r w:rsidRPr="00AB17CA">
        <w:rPr>
          <w:rFonts w:ascii="Courier New" w:eastAsiaTheme="minorHAnsi" w:hAnsi="Courier New" w:cs="Courier New"/>
          <w:sz w:val="21"/>
          <w:szCs w:val="21"/>
          <w:lang w:val="en-US" w:eastAsia="en-US"/>
        </w:rPr>
        <w:t>dpl</w:t>
      </w:r>
      <w:proofErr w:type="spellEnd"/>
      <w:r w:rsidRPr="00AB17CA">
        <w:rPr>
          <w:rFonts w:ascii="Courier New" w:eastAsiaTheme="minorHAnsi" w:hAnsi="Courier New" w:cs="Courier New"/>
          <w:sz w:val="21"/>
          <w:szCs w:val="21"/>
          <w:lang w:val="en-US" w:eastAsia="en-US"/>
        </w:rPr>
        <w:t xml:space="preserve"> DPL</w:t>
      </w:r>
    </w:p>
    <w:p w:rsidR="00AB17CA" w:rsidRDefault="008634D2" w:rsidP="00AB17CA">
      <w:pPr>
        <w:spacing w:line="360" w:lineRule="auto"/>
        <w:ind w:firstLine="425"/>
        <w:jc w:val="both"/>
        <w:rPr>
          <w:rFonts w:ascii="Courier New" w:eastAsiaTheme="minorHAnsi" w:hAnsi="Courier New" w:cs="Courier New"/>
          <w:sz w:val="21"/>
          <w:szCs w:val="21"/>
          <w:lang w:eastAsia="en-US"/>
        </w:rPr>
      </w:pPr>
      <w:r>
        <w:t xml:space="preserve">где </w:t>
      </w:r>
      <w:r w:rsidRPr="00AB17CA">
        <w:rPr>
          <w:rFonts w:ascii="Courier New" w:eastAsiaTheme="minorHAnsi" w:hAnsi="Courier New" w:cs="Courier New"/>
          <w:sz w:val="21"/>
          <w:szCs w:val="21"/>
          <w:lang w:val="en-US" w:eastAsia="en-US"/>
        </w:rPr>
        <w:t>ASPRAT</w:t>
      </w:r>
      <w:r>
        <w:rPr>
          <w:rFonts w:ascii="Courier New" w:eastAsiaTheme="minorHAnsi" w:hAnsi="Courier New" w:cs="Courier New"/>
          <w:sz w:val="21"/>
          <w:szCs w:val="21"/>
          <w:lang w:eastAsia="en-US"/>
        </w:rPr>
        <w:t xml:space="preserve"> </w:t>
      </w:r>
      <w:r>
        <w:t xml:space="preserve">- </w:t>
      </w:r>
      <m:oMath>
        <m:r>
          <w:rPr>
            <w:rFonts w:ascii="Cambria Math" w:eastAsia="MS Mincho" w:hAnsi="Cambria Math"/>
          </w:rPr>
          <m:t>ε</m:t>
        </m:r>
      </m:oMath>
      <w:r>
        <w:rPr>
          <w:rFonts w:ascii="Courier New" w:eastAsiaTheme="minorEastAsia" w:hAnsi="Courier New" w:cs="Courier New"/>
        </w:rPr>
        <w:t xml:space="preserve">, </w:t>
      </w:r>
      <w:r w:rsidRPr="00AB17CA">
        <w:rPr>
          <w:rFonts w:ascii="Courier New" w:eastAsiaTheme="minorHAnsi" w:hAnsi="Courier New" w:cs="Courier New"/>
          <w:sz w:val="21"/>
          <w:szCs w:val="21"/>
          <w:lang w:val="en-US" w:eastAsia="en-US"/>
        </w:rPr>
        <w:t>WLEN</w:t>
      </w:r>
      <w:r>
        <w:rPr>
          <w:rFonts w:ascii="Courier New" w:eastAsiaTheme="minorHAnsi" w:hAnsi="Courier New" w:cs="Courier New"/>
          <w:sz w:val="21"/>
          <w:szCs w:val="21"/>
          <w:lang w:eastAsia="en-US"/>
        </w:rPr>
        <w:t xml:space="preserve"> –</w:t>
      </w:r>
      <w:r w:rsidRPr="008634D2">
        <w:t>длина волны в среде</w:t>
      </w:r>
      <w:r>
        <w:rPr>
          <w:rFonts w:ascii="Courier New" w:eastAsiaTheme="minorHAnsi" w:hAnsi="Courier New" w:cs="Courier New"/>
          <w:sz w:val="21"/>
          <w:szCs w:val="21"/>
          <w:lang w:eastAsia="en-US"/>
        </w:rPr>
        <w:t xml:space="preserve">, </w:t>
      </w:r>
      <w:r w:rsidRPr="00AB17CA">
        <w:rPr>
          <w:rFonts w:ascii="Courier New" w:eastAsiaTheme="minorHAnsi" w:hAnsi="Courier New" w:cs="Courier New"/>
          <w:sz w:val="21"/>
          <w:szCs w:val="21"/>
          <w:lang w:val="en-US" w:eastAsia="en-US"/>
        </w:rPr>
        <w:t>DIAM</w:t>
      </w:r>
      <w:r>
        <w:rPr>
          <w:rFonts w:ascii="Courier New" w:eastAsiaTheme="minorHAnsi" w:hAnsi="Courier New" w:cs="Courier New"/>
          <w:sz w:val="21"/>
          <w:szCs w:val="21"/>
          <w:lang w:eastAsia="en-US"/>
        </w:rPr>
        <w:t xml:space="preserve"> – </w:t>
      </w:r>
      <w:r w:rsidRPr="008634D2">
        <w:t>большая ось сфероида</w:t>
      </w:r>
      <w:r>
        <w:rPr>
          <w:rFonts w:ascii="Courier New" w:eastAsiaTheme="minorHAnsi" w:hAnsi="Courier New" w:cs="Courier New"/>
          <w:sz w:val="21"/>
          <w:szCs w:val="21"/>
          <w:lang w:eastAsia="en-US"/>
        </w:rPr>
        <w:t xml:space="preserve">, </w:t>
      </w:r>
      <w:r w:rsidRPr="00AB17CA">
        <w:rPr>
          <w:rFonts w:ascii="Courier New" w:eastAsiaTheme="minorHAnsi" w:hAnsi="Courier New" w:cs="Courier New"/>
          <w:sz w:val="21"/>
          <w:szCs w:val="21"/>
          <w:lang w:val="en-US" w:eastAsia="en-US"/>
        </w:rPr>
        <w:t>REL</w:t>
      </w:r>
      <w:r w:rsidRPr="008634D2">
        <w:rPr>
          <w:rFonts w:ascii="Courier New" w:eastAsiaTheme="minorHAnsi" w:hAnsi="Courier New" w:cs="Courier New"/>
          <w:sz w:val="21"/>
          <w:szCs w:val="21"/>
          <w:lang w:eastAsia="en-US"/>
        </w:rPr>
        <w:t>_</w:t>
      </w:r>
      <w:r w:rsidRPr="00AB17CA">
        <w:rPr>
          <w:rFonts w:ascii="Courier New" w:eastAsiaTheme="minorHAnsi" w:hAnsi="Courier New" w:cs="Courier New"/>
          <w:sz w:val="21"/>
          <w:szCs w:val="21"/>
          <w:lang w:val="en-US" w:eastAsia="en-US"/>
        </w:rPr>
        <w:t>REF</w:t>
      </w:r>
      <w:r w:rsidRPr="008634D2">
        <w:rPr>
          <w:rFonts w:ascii="Courier New" w:eastAsiaTheme="minorHAnsi" w:hAnsi="Courier New" w:cs="Courier New"/>
          <w:sz w:val="21"/>
          <w:szCs w:val="21"/>
          <w:lang w:eastAsia="en-US"/>
        </w:rPr>
        <w:t>_</w:t>
      </w:r>
      <w:r w:rsidRPr="00AB17CA">
        <w:rPr>
          <w:rFonts w:ascii="Courier New" w:eastAsiaTheme="minorHAnsi" w:hAnsi="Courier New" w:cs="Courier New"/>
          <w:sz w:val="21"/>
          <w:szCs w:val="21"/>
          <w:lang w:val="en-US" w:eastAsia="en-US"/>
        </w:rPr>
        <w:t>INDEX</w:t>
      </w:r>
      <w:r>
        <w:rPr>
          <w:rFonts w:ascii="Courier New" w:eastAsiaTheme="minorHAnsi" w:hAnsi="Courier New" w:cs="Courier New"/>
          <w:sz w:val="21"/>
          <w:szCs w:val="21"/>
          <w:lang w:eastAsia="en-US"/>
        </w:rPr>
        <w:t xml:space="preserve"> – </w:t>
      </w:r>
      <w:r w:rsidRPr="008634D2">
        <w:t>относительный показатель преломления частицы</w:t>
      </w:r>
      <w:r>
        <w:rPr>
          <w:rFonts w:ascii="Courier New" w:eastAsiaTheme="minorHAnsi" w:hAnsi="Courier New" w:cs="Courier New"/>
          <w:sz w:val="21"/>
          <w:szCs w:val="21"/>
          <w:lang w:eastAsia="en-US"/>
        </w:rPr>
        <w:t xml:space="preserve">, </w:t>
      </w:r>
      <w:r w:rsidRPr="00AB17CA">
        <w:rPr>
          <w:rFonts w:ascii="Courier New" w:eastAsiaTheme="minorHAnsi" w:hAnsi="Courier New" w:cs="Courier New"/>
          <w:sz w:val="21"/>
          <w:szCs w:val="21"/>
          <w:lang w:val="en-US" w:eastAsia="en-US"/>
        </w:rPr>
        <w:t>DIRECTORY</w:t>
      </w:r>
      <w:r>
        <w:rPr>
          <w:rFonts w:ascii="Courier New" w:eastAsiaTheme="minorHAnsi" w:hAnsi="Courier New" w:cs="Courier New"/>
          <w:sz w:val="21"/>
          <w:szCs w:val="21"/>
          <w:lang w:eastAsia="en-US"/>
        </w:rPr>
        <w:t xml:space="preserve"> – </w:t>
      </w:r>
      <w:r w:rsidRPr="008634D2">
        <w:t>директория для сохранения файлов расчета</w:t>
      </w:r>
      <w:r>
        <w:rPr>
          <w:rFonts w:ascii="Courier New" w:eastAsiaTheme="minorHAnsi" w:hAnsi="Courier New" w:cs="Courier New"/>
          <w:sz w:val="21"/>
          <w:szCs w:val="21"/>
          <w:lang w:eastAsia="en-US"/>
        </w:rPr>
        <w:t xml:space="preserve">, </w:t>
      </w:r>
      <w:r w:rsidRPr="00AB17CA">
        <w:rPr>
          <w:rFonts w:ascii="Courier New" w:eastAsiaTheme="minorHAnsi" w:hAnsi="Courier New" w:cs="Courier New"/>
          <w:sz w:val="21"/>
          <w:szCs w:val="21"/>
          <w:lang w:val="en-US" w:eastAsia="en-US"/>
        </w:rPr>
        <w:t>BETA</w:t>
      </w:r>
      <w:r>
        <w:rPr>
          <w:rFonts w:ascii="Courier New" w:eastAsiaTheme="minorHAnsi" w:hAnsi="Courier New" w:cs="Courier New"/>
          <w:sz w:val="21"/>
          <w:szCs w:val="21"/>
          <w:lang w:eastAsia="en-US"/>
        </w:rPr>
        <w:t xml:space="preserve"> – </w:t>
      </w:r>
      <w:r w:rsidRPr="008634D2">
        <w:t>угол ориентации</w:t>
      </w:r>
      <w:r>
        <w:rPr>
          <w:rFonts w:ascii="Courier New" w:eastAsiaTheme="minorHAnsi" w:hAnsi="Courier New" w:cs="Courier New"/>
          <w:sz w:val="21"/>
          <w:szCs w:val="21"/>
          <w:lang w:eastAsia="en-US"/>
        </w:rPr>
        <w:t xml:space="preserve"> </w:t>
      </w:r>
      <m:oMath>
        <m:r>
          <w:rPr>
            <w:rFonts w:ascii="Cambria Math" w:eastAsia="MS Mincho" w:hAnsi="Cambria Math"/>
          </w:rPr>
          <m:t>β</m:t>
        </m:r>
      </m:oMath>
      <w:r>
        <w:rPr>
          <w:rFonts w:ascii="Courier New" w:eastAsiaTheme="minorHAnsi" w:hAnsi="Courier New" w:cs="Courier New"/>
          <w:sz w:val="21"/>
          <w:szCs w:val="21"/>
          <w:lang w:eastAsia="en-US"/>
        </w:rPr>
        <w:t>,</w:t>
      </w:r>
      <w:r w:rsidRPr="008634D2">
        <w:rPr>
          <w:rFonts w:ascii="Courier New" w:eastAsiaTheme="minorHAnsi" w:hAnsi="Courier New" w:cs="Courier New"/>
          <w:sz w:val="21"/>
          <w:szCs w:val="21"/>
          <w:lang w:eastAsia="en-US"/>
        </w:rPr>
        <w:t xml:space="preserve"> </w:t>
      </w:r>
      <w:r w:rsidRPr="00AB17CA">
        <w:rPr>
          <w:rFonts w:ascii="Courier New" w:eastAsiaTheme="minorHAnsi" w:hAnsi="Courier New" w:cs="Courier New"/>
          <w:sz w:val="21"/>
          <w:szCs w:val="21"/>
          <w:lang w:val="en-US" w:eastAsia="en-US"/>
        </w:rPr>
        <w:t>DPL</w:t>
      </w:r>
      <w:r>
        <w:rPr>
          <w:rFonts w:ascii="Courier New" w:eastAsiaTheme="minorHAnsi" w:hAnsi="Courier New" w:cs="Courier New"/>
          <w:sz w:val="21"/>
          <w:szCs w:val="21"/>
          <w:lang w:eastAsia="en-US"/>
        </w:rPr>
        <w:t xml:space="preserve"> – </w:t>
      </w:r>
      <w:r w:rsidRPr="008634D2">
        <w:t>количество диполей на длину волны</w:t>
      </w:r>
      <w:r>
        <w:rPr>
          <w:rFonts w:ascii="Courier New" w:eastAsiaTheme="minorHAnsi" w:hAnsi="Courier New" w:cs="Courier New"/>
          <w:sz w:val="21"/>
          <w:szCs w:val="21"/>
          <w:lang w:eastAsia="en-US"/>
        </w:rPr>
        <w:t>.</w:t>
      </w:r>
    </w:p>
    <w:p w:rsidR="00955C24" w:rsidRPr="00955C24" w:rsidRDefault="00955C24" w:rsidP="00955C24">
      <w:pPr>
        <w:spacing w:line="360" w:lineRule="auto"/>
        <w:ind w:firstLine="425"/>
        <w:jc w:val="both"/>
      </w:pPr>
      <w:r>
        <w:t xml:space="preserve">В результате расчета в выходные файлы программы записывается индикатриса в зависимости от полярного угла. Полярный угол меняется от 10 до 70 градусов с шагом 1 (это задается в файле </w:t>
      </w:r>
      <w:r w:rsidRPr="00955C24">
        <w:t>1.</w:t>
      </w:r>
      <w:r>
        <w:rPr>
          <w:lang w:val="en-US"/>
        </w:rPr>
        <w:t>txt</w:t>
      </w:r>
      <w:r>
        <w:t>)</w:t>
      </w:r>
      <w:r w:rsidRPr="00955C24">
        <w:t>.</w:t>
      </w:r>
    </w:p>
    <w:p w:rsidR="00AB17CA" w:rsidRPr="000C3CF4" w:rsidRDefault="00AB17CA" w:rsidP="00AB17CA">
      <w:pPr>
        <w:spacing w:line="360" w:lineRule="auto"/>
        <w:ind w:firstLine="425"/>
        <w:jc w:val="both"/>
        <w:rPr>
          <w:rFonts w:eastAsia="MS Mincho"/>
        </w:rPr>
      </w:pPr>
      <w:r>
        <w:rPr>
          <w:rFonts w:eastAsia="MS Mincho"/>
        </w:rPr>
        <w:lastRenderedPageBreak/>
        <w:t xml:space="preserve">Из литературы известно, что объем тромбоцитов лежит в пределах 2-20 </w:t>
      </w:r>
      <w:proofErr w:type="spellStart"/>
      <w:r>
        <w:rPr>
          <w:rFonts w:eastAsia="MS Mincho"/>
        </w:rPr>
        <w:t>фл</w:t>
      </w:r>
      <w:proofErr w:type="spellEnd"/>
      <w:r>
        <w:rPr>
          <w:rFonts w:eastAsia="MS Mincho"/>
        </w:rPr>
        <w:t xml:space="preserve"> </w:t>
      </w:r>
      <w:r w:rsidRPr="000C3CF4">
        <w:rPr>
          <w:rFonts w:eastAsia="MS Mincho"/>
        </w:rPr>
        <w:t>[</w:t>
      </w:r>
      <w:r w:rsidRPr="000C3CF4">
        <w:rPr>
          <w:rFonts w:eastAsia="MS Mincho"/>
        </w:rPr>
        <w:fldChar w:fldCharType="begin"/>
      </w:r>
      <w:r w:rsidRPr="000C3CF4">
        <w:rPr>
          <w:rFonts w:eastAsia="MS Mincho"/>
        </w:rPr>
        <w:instrText xml:space="preserve"> NOTEREF _Ref297157191 \h </w:instrText>
      </w:r>
      <w:r>
        <w:rPr>
          <w:rFonts w:eastAsia="MS Mincho"/>
        </w:rPr>
        <w:instrText xml:space="preserve"> \* MERGEFORMAT </w:instrText>
      </w:r>
      <w:r w:rsidRPr="000C3CF4">
        <w:rPr>
          <w:rFonts w:eastAsia="MS Mincho"/>
        </w:rPr>
      </w:r>
      <w:r w:rsidRPr="000C3CF4">
        <w:rPr>
          <w:rFonts w:eastAsia="MS Mincho"/>
        </w:rPr>
        <w:fldChar w:fldCharType="separate"/>
      </w:r>
      <w:r>
        <w:rPr>
          <w:rFonts w:eastAsia="MS Mincho"/>
        </w:rPr>
        <w:t>1</w:t>
      </w:r>
      <w:r w:rsidRPr="000C3CF4">
        <w:rPr>
          <w:rFonts w:eastAsia="MS Mincho"/>
        </w:rPr>
        <w:fldChar w:fldCharType="end"/>
      </w:r>
      <w:r w:rsidRPr="000C3CF4">
        <w:rPr>
          <w:rFonts w:eastAsia="MS Mincho"/>
        </w:rPr>
        <w:t>]</w:t>
      </w:r>
      <w:r>
        <w:rPr>
          <w:rFonts w:eastAsia="MS Mincho"/>
        </w:rPr>
        <w:t>,</w:t>
      </w:r>
      <w:r w:rsidRPr="002D2037">
        <w:rPr>
          <w:rFonts w:eastAsia="MS Mincho"/>
        </w:rPr>
        <w:t>[</w:t>
      </w:r>
      <w:r w:rsidRPr="000C3CF4">
        <w:rPr>
          <w:rFonts w:eastAsia="MS Mincho"/>
        </w:rPr>
        <w:endnoteReference w:id="3"/>
      </w:r>
      <w:r w:rsidRPr="002D2037">
        <w:rPr>
          <w:rFonts w:eastAsia="MS Mincho"/>
        </w:rPr>
        <w:t>]</w:t>
      </w:r>
      <w:r>
        <w:rPr>
          <w:rFonts w:eastAsia="MS Mincho"/>
        </w:rPr>
        <w:t xml:space="preserve">, что соответствует </w:t>
      </w:r>
      <m:oMath>
        <m:sSub>
          <m:sSubPr>
            <m:ctrlPr>
              <w:rPr>
                <w:rFonts w:ascii="Cambria Math" w:eastAsia="MS Mincho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</w:rPr>
              <m:t>ev</m:t>
            </m:r>
          </m:sub>
        </m:sSub>
      </m:oMath>
      <w:r w:rsidRPr="000C3CF4">
        <w:rPr>
          <w:rFonts w:eastAsia="MS Mincho"/>
        </w:rPr>
        <w:t xml:space="preserve">=0.8..1.7 мкм. Отношение полуосей для типичного тромбоцита составляет 3-6 </w:t>
      </w:r>
      <w:r w:rsidRPr="00B257EB">
        <w:rPr>
          <w:rFonts w:eastAsia="MS Mincho"/>
        </w:rPr>
        <w:t>(</w:t>
      </w:r>
      <w:r w:rsidRPr="000C3CF4">
        <w:rPr>
          <w:rFonts w:eastAsia="MS Mincho"/>
        </w:rPr>
        <w:t>[</w:t>
      </w:r>
      <w:r w:rsidRPr="000C3CF4">
        <w:rPr>
          <w:rFonts w:eastAsia="MS Mincho"/>
        </w:rPr>
        <w:fldChar w:fldCharType="begin"/>
      </w:r>
      <w:r w:rsidRPr="000C3CF4">
        <w:rPr>
          <w:rFonts w:eastAsia="MS Mincho"/>
        </w:rPr>
        <w:instrText xml:space="preserve"> NOTEREF _Ref297157191 \h </w:instrText>
      </w:r>
      <w:r>
        <w:rPr>
          <w:rFonts w:eastAsia="MS Mincho"/>
        </w:rPr>
        <w:instrText xml:space="preserve"> \* MERGEFORMAT </w:instrText>
      </w:r>
      <w:r w:rsidRPr="000C3CF4">
        <w:rPr>
          <w:rFonts w:eastAsia="MS Mincho"/>
        </w:rPr>
      </w:r>
      <w:r w:rsidRPr="000C3CF4">
        <w:rPr>
          <w:rFonts w:eastAsia="MS Mincho"/>
        </w:rPr>
        <w:fldChar w:fldCharType="separate"/>
      </w:r>
      <w:r>
        <w:rPr>
          <w:rFonts w:eastAsia="MS Mincho"/>
        </w:rPr>
        <w:t>1</w:t>
      </w:r>
      <w:r w:rsidRPr="000C3CF4">
        <w:rPr>
          <w:rFonts w:eastAsia="MS Mincho"/>
        </w:rPr>
        <w:fldChar w:fldCharType="end"/>
      </w:r>
      <w:r w:rsidRPr="000C3CF4">
        <w:rPr>
          <w:rFonts w:eastAsia="MS Mincho"/>
        </w:rPr>
        <w:t>],[</w:t>
      </w:r>
      <w:r w:rsidRPr="000C3CF4">
        <w:rPr>
          <w:rFonts w:eastAsia="MS Mincho"/>
        </w:rPr>
        <w:endnoteReference w:id="4"/>
      </w:r>
      <w:r w:rsidRPr="000C3CF4">
        <w:rPr>
          <w:rFonts w:eastAsia="MS Mincho"/>
        </w:rPr>
        <w:t>]</w:t>
      </w:r>
      <w:r w:rsidRPr="00B257EB">
        <w:rPr>
          <w:rFonts w:eastAsia="MS Mincho"/>
        </w:rPr>
        <w:t>)</w:t>
      </w:r>
      <w:r w:rsidRPr="000C3CF4">
        <w:rPr>
          <w:rFonts w:eastAsia="MS Mincho"/>
        </w:rPr>
        <w:t>, однако часть тромбоцитов (</w:t>
      </w:r>
      <w:proofErr w:type="spellStart"/>
      <w:r w:rsidRPr="000C3CF4">
        <w:rPr>
          <w:rFonts w:eastAsia="MS Mincho"/>
        </w:rPr>
        <w:t>эхиноциты</w:t>
      </w:r>
      <w:proofErr w:type="spellEnd"/>
      <w:r w:rsidRPr="000C3CF4">
        <w:rPr>
          <w:rFonts w:eastAsia="MS Mincho"/>
        </w:rPr>
        <w:t>) имеют меньшее отношение полуосей, вплоть до 1. Типичный для биологических клеток показатель преломления – 1.4. Исходя из этих данных, мы выбрали следующие диапазоны для базы данных:</w:t>
      </w:r>
    </w:p>
    <w:p w:rsidR="00AB17CA" w:rsidRPr="007214B9" w:rsidRDefault="00AB17CA" w:rsidP="00AB17CA">
      <w:pPr>
        <w:spacing w:line="360" w:lineRule="auto"/>
        <w:ind w:firstLine="425"/>
        <w:jc w:val="both"/>
        <w:rPr>
          <w:rFonts w:eastAsia="MS Mincho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B17CA" w:rsidRPr="000C3CF4" w:rsidTr="00DF39A4">
        <w:tc>
          <w:tcPr>
            <w:tcW w:w="3190" w:type="dxa"/>
          </w:tcPr>
          <w:p w:rsidR="00AB17CA" w:rsidRPr="000C3CF4" w:rsidRDefault="00AB17CA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w:r w:rsidRPr="000C3CF4">
              <w:rPr>
                <w:rFonts w:eastAsia="MS Mincho"/>
              </w:rPr>
              <w:t>Параметр тромбоцита</w:t>
            </w:r>
          </w:p>
        </w:tc>
        <w:tc>
          <w:tcPr>
            <w:tcW w:w="3190" w:type="dxa"/>
          </w:tcPr>
          <w:p w:rsidR="00AB17CA" w:rsidRPr="000C3CF4" w:rsidRDefault="00AB17CA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w:r w:rsidRPr="000C3CF4">
              <w:rPr>
                <w:rFonts w:eastAsia="MS Mincho"/>
              </w:rPr>
              <w:t>Нижняя граница</w:t>
            </w:r>
          </w:p>
        </w:tc>
        <w:tc>
          <w:tcPr>
            <w:tcW w:w="3191" w:type="dxa"/>
          </w:tcPr>
          <w:p w:rsidR="00AB17CA" w:rsidRPr="000C3CF4" w:rsidRDefault="00AB17CA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w:r w:rsidRPr="000C3CF4">
              <w:rPr>
                <w:rFonts w:eastAsia="MS Mincho"/>
              </w:rPr>
              <w:t>Верхняя граница</w:t>
            </w:r>
          </w:p>
        </w:tc>
      </w:tr>
      <w:tr w:rsidR="00AB17CA" w:rsidRPr="000C3CF4" w:rsidTr="00DF39A4">
        <w:tc>
          <w:tcPr>
            <w:tcW w:w="3190" w:type="dxa"/>
          </w:tcPr>
          <w:p w:rsidR="00AB17CA" w:rsidRPr="000C3CF4" w:rsidRDefault="00AB17CA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</w:rPr>
                      <m:t>ev</m:t>
                    </m:r>
                  </m:sub>
                </m:sSub>
              </m:oMath>
            </m:oMathPara>
          </w:p>
        </w:tc>
        <w:tc>
          <w:tcPr>
            <w:tcW w:w="3190" w:type="dxa"/>
          </w:tcPr>
          <w:p w:rsidR="00AB17CA" w:rsidRPr="000C3CF4" w:rsidRDefault="00AB17CA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w:r w:rsidRPr="000C3CF4">
              <w:rPr>
                <w:rFonts w:eastAsia="MS Mincho"/>
              </w:rPr>
              <w:t>0.5 мкм</w:t>
            </w:r>
          </w:p>
        </w:tc>
        <w:tc>
          <w:tcPr>
            <w:tcW w:w="3191" w:type="dxa"/>
          </w:tcPr>
          <w:p w:rsidR="00AB17CA" w:rsidRPr="000C3CF4" w:rsidRDefault="00AB17CA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w:r w:rsidRPr="000C3CF4">
              <w:rPr>
                <w:rFonts w:eastAsia="MS Mincho"/>
              </w:rPr>
              <w:t>2 мкм</w:t>
            </w:r>
          </w:p>
        </w:tc>
      </w:tr>
      <w:tr w:rsidR="00AB17CA" w:rsidRPr="000C3CF4" w:rsidTr="00DF39A4">
        <w:tc>
          <w:tcPr>
            <w:tcW w:w="3190" w:type="dxa"/>
          </w:tcPr>
          <w:p w:rsidR="00AB17CA" w:rsidRPr="000C3CF4" w:rsidRDefault="00AB17CA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/>
                  </w:rPr>
                  <m:t>ε</m:t>
                </m:r>
              </m:oMath>
            </m:oMathPara>
          </w:p>
        </w:tc>
        <w:tc>
          <w:tcPr>
            <w:tcW w:w="3190" w:type="dxa"/>
          </w:tcPr>
          <w:p w:rsidR="00AB17CA" w:rsidRPr="000C3CF4" w:rsidRDefault="00AB17CA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w:r w:rsidRPr="000C3CF4">
              <w:rPr>
                <w:rFonts w:eastAsia="MS Mincho"/>
              </w:rPr>
              <w:t>1</w:t>
            </w:r>
          </w:p>
        </w:tc>
        <w:tc>
          <w:tcPr>
            <w:tcW w:w="3191" w:type="dxa"/>
          </w:tcPr>
          <w:p w:rsidR="00AB17CA" w:rsidRPr="000C3CF4" w:rsidRDefault="00AB17CA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w:r w:rsidRPr="000C3CF4">
              <w:rPr>
                <w:rFonts w:eastAsia="MS Mincho"/>
              </w:rPr>
              <w:t>8</w:t>
            </w:r>
          </w:p>
        </w:tc>
      </w:tr>
      <w:tr w:rsidR="00AB17CA" w:rsidRPr="000C3CF4" w:rsidTr="00DF39A4">
        <w:tc>
          <w:tcPr>
            <w:tcW w:w="3190" w:type="dxa"/>
          </w:tcPr>
          <w:p w:rsidR="00AB17CA" w:rsidRPr="000C3CF4" w:rsidRDefault="00AB17CA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/>
                  </w:rPr>
                  <m:t>n</m:t>
                </m:r>
              </m:oMath>
            </m:oMathPara>
          </w:p>
        </w:tc>
        <w:tc>
          <w:tcPr>
            <w:tcW w:w="3190" w:type="dxa"/>
          </w:tcPr>
          <w:p w:rsidR="00AB17CA" w:rsidRPr="000C3CF4" w:rsidRDefault="00AB17CA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w:r w:rsidRPr="000C3CF4">
              <w:rPr>
                <w:rFonts w:eastAsia="MS Mincho"/>
              </w:rPr>
              <w:t>1.35</w:t>
            </w:r>
          </w:p>
        </w:tc>
        <w:tc>
          <w:tcPr>
            <w:tcW w:w="3191" w:type="dxa"/>
          </w:tcPr>
          <w:p w:rsidR="00AB17CA" w:rsidRPr="000C3CF4" w:rsidRDefault="00AB17CA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w:r w:rsidRPr="000C3CF4">
              <w:rPr>
                <w:rFonts w:eastAsia="MS Mincho"/>
              </w:rPr>
              <w:t>1.5</w:t>
            </w:r>
          </w:p>
        </w:tc>
      </w:tr>
      <w:tr w:rsidR="00AB17CA" w:rsidRPr="000C3CF4" w:rsidTr="00DF39A4">
        <w:tc>
          <w:tcPr>
            <w:tcW w:w="3190" w:type="dxa"/>
          </w:tcPr>
          <w:p w:rsidR="00AB17CA" w:rsidRPr="000C3CF4" w:rsidRDefault="00AB17CA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/>
                  </w:rPr>
                  <m:t>β</m:t>
                </m:r>
              </m:oMath>
            </m:oMathPara>
          </w:p>
        </w:tc>
        <w:tc>
          <w:tcPr>
            <w:tcW w:w="3190" w:type="dxa"/>
          </w:tcPr>
          <w:p w:rsidR="00AB17CA" w:rsidRPr="000C3CF4" w:rsidRDefault="00AB17CA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w:r w:rsidRPr="000C3CF4">
              <w:rPr>
                <w:rFonts w:eastAsia="MS Mincho"/>
              </w:rPr>
              <w:t>0°</w:t>
            </w:r>
          </w:p>
        </w:tc>
        <w:tc>
          <w:tcPr>
            <w:tcW w:w="3191" w:type="dxa"/>
          </w:tcPr>
          <w:p w:rsidR="00AB17CA" w:rsidRPr="000C3CF4" w:rsidRDefault="00AB17CA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w:r w:rsidRPr="000C3CF4">
              <w:rPr>
                <w:rFonts w:eastAsia="MS Mincho"/>
              </w:rPr>
              <w:t>90°</w:t>
            </w:r>
          </w:p>
        </w:tc>
      </w:tr>
    </w:tbl>
    <w:p w:rsidR="00AB17CA" w:rsidRPr="000C3CF4" w:rsidRDefault="00AB17CA" w:rsidP="00AB17CA">
      <w:pPr>
        <w:spacing w:line="360" w:lineRule="auto"/>
        <w:ind w:firstLine="425"/>
        <w:jc w:val="both"/>
        <w:rPr>
          <w:rFonts w:eastAsia="MS Mincho"/>
        </w:rPr>
      </w:pPr>
    </w:p>
    <w:p w:rsidR="00AB17CA" w:rsidRDefault="00AB17CA" w:rsidP="00AB17CA">
      <w:pPr>
        <w:spacing w:line="360" w:lineRule="auto"/>
        <w:ind w:firstLine="425"/>
        <w:jc w:val="both"/>
        <w:rPr>
          <w:rFonts w:eastAsia="MS Mincho"/>
        </w:rPr>
      </w:pPr>
      <w:r w:rsidRPr="000C3CF4">
        <w:rPr>
          <w:rFonts w:eastAsia="MS Mincho"/>
        </w:rPr>
        <w:t xml:space="preserve">Расчет базы данных производился на кластере ИВЦ НГУ. Кластер состоит из узлов, объединяющих по 8 ядер (процессоры </w:t>
      </w:r>
      <w:proofErr w:type="spellStart"/>
      <w:r w:rsidRPr="000C3CF4">
        <w:rPr>
          <w:rFonts w:eastAsia="MS Mincho"/>
        </w:rPr>
        <w:t>Xeon</w:t>
      </w:r>
      <w:proofErr w:type="spellEnd"/>
      <w:r w:rsidRPr="000C3CF4">
        <w:rPr>
          <w:rFonts w:eastAsia="MS Mincho"/>
        </w:rPr>
        <w:t xml:space="preserve"> 5355 и </w:t>
      </w:r>
      <w:proofErr w:type="spellStart"/>
      <w:r w:rsidRPr="000C3CF4">
        <w:rPr>
          <w:rFonts w:eastAsia="MS Mincho"/>
        </w:rPr>
        <w:t>Xeon</w:t>
      </w:r>
      <w:proofErr w:type="spellEnd"/>
      <w:r w:rsidRPr="000C3CF4">
        <w:rPr>
          <w:rFonts w:eastAsia="MS Mincho"/>
        </w:rPr>
        <w:t xml:space="preserve"> E5540). Каждый узел обладает 14 Гб памяти. Для расчетов одновременно использовались 16 узлов. Таким образом, было задействовано 128 процессоров, что позволило рассчитывать 100000 индикатрис за сутки.</w:t>
      </w:r>
      <w:r>
        <w:rPr>
          <w:rFonts w:eastAsia="MS Mincho"/>
        </w:rPr>
        <w:t xml:space="preserve"> При этом параметры индикатрис выбирались случайным образом внутри указанных границ. Среди преимуществ случайного выбора параметров можно выделить </w:t>
      </w:r>
      <w:proofErr w:type="gramStart"/>
      <w:r>
        <w:rPr>
          <w:rFonts w:eastAsia="MS Mincho"/>
        </w:rPr>
        <w:t>следующие</w:t>
      </w:r>
      <w:proofErr w:type="gramEnd"/>
      <w:r>
        <w:rPr>
          <w:rFonts w:eastAsia="MS Mincho"/>
        </w:rPr>
        <w:t>:</w:t>
      </w:r>
    </w:p>
    <w:p w:rsidR="00AB17CA" w:rsidRDefault="00AB17CA" w:rsidP="00AB17CA">
      <w:pPr>
        <w:pStyle w:val="a6"/>
        <w:numPr>
          <w:ilvl w:val="0"/>
          <w:numId w:val="1"/>
        </w:numPr>
        <w:spacing w:line="360" w:lineRule="auto"/>
        <w:jc w:val="both"/>
        <w:rPr>
          <w:rFonts w:eastAsia="MS Mincho"/>
        </w:rPr>
      </w:pPr>
      <w:r>
        <w:rPr>
          <w:rFonts w:eastAsia="MS Mincho"/>
        </w:rPr>
        <w:t>Все точки базы данных имеют различные координаты по каждому параметру, что позволяет использовать их даже при слабой зависимости индикатрисы от одного из параметров (в то время как в базе данных с регулярной решеткой будут почти совпадающие индикатрисы, возникающие при движении вдоль такого параметра);</w:t>
      </w:r>
    </w:p>
    <w:p w:rsidR="00AB17CA" w:rsidRDefault="00AB17CA" w:rsidP="00AB17CA">
      <w:pPr>
        <w:pStyle w:val="a6"/>
        <w:numPr>
          <w:ilvl w:val="0"/>
          <w:numId w:val="1"/>
        </w:numPr>
        <w:spacing w:line="360" w:lineRule="auto"/>
        <w:jc w:val="both"/>
        <w:rPr>
          <w:rFonts w:eastAsia="MS Mincho"/>
        </w:rPr>
      </w:pPr>
      <w:r>
        <w:rPr>
          <w:rFonts w:eastAsia="MS Mincho"/>
        </w:rPr>
        <w:t>При любом линейном преобразовании параметров распределение точек в базе данных остается равномерным;</w:t>
      </w:r>
    </w:p>
    <w:p w:rsidR="00AB17CA" w:rsidRDefault="00AB17CA" w:rsidP="00AB17CA">
      <w:pPr>
        <w:pStyle w:val="a6"/>
        <w:numPr>
          <w:ilvl w:val="0"/>
          <w:numId w:val="1"/>
        </w:numPr>
        <w:spacing w:line="360" w:lineRule="auto"/>
        <w:jc w:val="both"/>
        <w:rPr>
          <w:rFonts w:eastAsia="MS Mincho"/>
        </w:rPr>
      </w:pPr>
      <w:r>
        <w:rPr>
          <w:rFonts w:eastAsia="MS Mincho"/>
        </w:rPr>
        <w:t>При объединении баз данных, насчитанных в одинаковых границах, распределение точек также остается равномерным;</w:t>
      </w:r>
    </w:p>
    <w:p w:rsidR="00AB17CA" w:rsidRDefault="00AB17CA" w:rsidP="00AB17CA">
      <w:pPr>
        <w:pStyle w:val="a6"/>
        <w:numPr>
          <w:ilvl w:val="0"/>
          <w:numId w:val="1"/>
        </w:numPr>
        <w:spacing w:line="360" w:lineRule="auto"/>
        <w:jc w:val="both"/>
        <w:rPr>
          <w:rFonts w:eastAsia="MS Mincho"/>
        </w:rPr>
      </w:pPr>
      <w:r>
        <w:rPr>
          <w:rFonts w:eastAsia="MS Mincho"/>
        </w:rPr>
        <w:t>Интегралы по базе данных, которые возникают при статистической обработке</w:t>
      </w:r>
      <w:r w:rsidR="00B27A82">
        <w:rPr>
          <w:rFonts w:eastAsia="MS Mincho"/>
        </w:rPr>
        <w:t xml:space="preserve"> (это дальнейшее развитие метода решения обратной задачи с использованием базы данных)</w:t>
      </w:r>
      <w:r>
        <w:rPr>
          <w:rFonts w:eastAsia="MS Mincho"/>
        </w:rPr>
        <w:t>, естественным образом берутся методом Монте-Карло.</w:t>
      </w:r>
    </w:p>
    <w:p w:rsidR="008634D2" w:rsidRDefault="00B27A82" w:rsidP="008634D2">
      <w:pPr>
        <w:spacing w:line="360" w:lineRule="auto"/>
        <w:jc w:val="both"/>
        <w:rPr>
          <w:rFonts w:eastAsia="MS Mincho"/>
        </w:rPr>
      </w:pPr>
      <w:r>
        <w:rPr>
          <w:rFonts w:eastAsia="MS Mincho"/>
        </w:rPr>
        <w:t xml:space="preserve">Всего было насчитано примерно 500000 индикатрис. Они записаны построчно в файле </w:t>
      </w:r>
      <w:r w:rsidRPr="00B27A82">
        <w:rPr>
          <w:rFonts w:eastAsia="MS Mincho"/>
        </w:rPr>
        <w:t>database.txt</w:t>
      </w:r>
      <w:r>
        <w:rPr>
          <w:rFonts w:eastAsia="MS Mincho"/>
        </w:rPr>
        <w:t xml:space="preserve">. Первые 4 столбца – это параметры в порядке, указанном в таблице, </w:t>
      </w:r>
      <w:r w:rsidR="00955C24">
        <w:rPr>
          <w:rFonts w:eastAsia="MS Mincho"/>
        </w:rPr>
        <w:t>следующие 61 столбец – индикатриса.</w:t>
      </w:r>
    </w:p>
    <w:p w:rsidR="00955C24" w:rsidRPr="00955C24" w:rsidRDefault="00955C24" w:rsidP="008634D2">
      <w:pPr>
        <w:spacing w:line="360" w:lineRule="auto"/>
        <w:jc w:val="both"/>
        <w:rPr>
          <w:rFonts w:eastAsia="MS Mincho"/>
        </w:rPr>
      </w:pPr>
      <w:r>
        <w:rPr>
          <w:rFonts w:eastAsia="MS Mincho"/>
        </w:rPr>
        <w:lastRenderedPageBreak/>
        <w:t xml:space="preserve">Также в файле </w:t>
      </w:r>
      <w:r w:rsidRPr="00955C24">
        <w:rPr>
          <w:rFonts w:eastAsia="MS Mincho"/>
        </w:rPr>
        <w:t>test_1000.txt</w:t>
      </w:r>
      <w:r>
        <w:rPr>
          <w:rFonts w:eastAsia="MS Mincho"/>
        </w:rPr>
        <w:t xml:space="preserve"> находится </w:t>
      </w:r>
      <w:proofErr w:type="gramStart"/>
      <w:r>
        <w:rPr>
          <w:rFonts w:eastAsia="MS Mincho"/>
        </w:rPr>
        <w:t>дополнительная</w:t>
      </w:r>
      <w:proofErr w:type="gramEnd"/>
      <w:r>
        <w:rPr>
          <w:rFonts w:eastAsia="MS Mincho"/>
        </w:rPr>
        <w:t xml:space="preserve"> 1000 индикатрис в том же формате, рассчитанных тем же способом. Они могут быть полезны для тестирования базы данных.</w:t>
      </w:r>
    </w:p>
    <w:p w:rsidR="008634D2" w:rsidRDefault="008634D2" w:rsidP="008634D2">
      <w:pPr>
        <w:spacing w:line="360" w:lineRule="auto"/>
        <w:jc w:val="both"/>
        <w:rPr>
          <w:rFonts w:eastAsia="MS Mincho"/>
        </w:rPr>
      </w:pPr>
    </w:p>
    <w:p w:rsidR="008634D2" w:rsidRPr="008634D2" w:rsidRDefault="00955C24" w:rsidP="008634D2">
      <w:pPr>
        <w:spacing w:line="360" w:lineRule="auto"/>
        <w:jc w:val="both"/>
        <w:rPr>
          <w:rFonts w:eastAsia="MS Mincho"/>
        </w:rPr>
      </w:pPr>
      <w:r>
        <w:rPr>
          <w:rFonts w:eastAsia="MS Mincho"/>
        </w:rPr>
        <w:t xml:space="preserve">В файле </w:t>
      </w:r>
      <w:r w:rsidRPr="00955C24">
        <w:rPr>
          <w:rFonts w:eastAsia="MS Mincho"/>
        </w:rPr>
        <w:t>experiment_1000.txt</w:t>
      </w:r>
      <w:r>
        <w:rPr>
          <w:rFonts w:eastAsia="MS Mincho"/>
        </w:rPr>
        <w:t xml:space="preserve"> – 1000 типичных экспериментальных индикатрис. Каждая строчка – 1 индикатриса, 61 столбец соответствует 61 точке по углу рассеяния (</w:t>
      </w:r>
      <w:r w:rsidR="00C90F9C">
        <w:rPr>
          <w:rFonts w:eastAsia="MS Mincho"/>
        </w:rPr>
        <w:t>от 10 до 70 гра</w:t>
      </w:r>
      <w:r>
        <w:rPr>
          <w:rFonts w:eastAsia="MS Mincho"/>
        </w:rPr>
        <w:t xml:space="preserve">дусов) </w:t>
      </w:r>
      <w:bookmarkStart w:id="1" w:name="_GoBack"/>
      <w:bookmarkEnd w:id="1"/>
    </w:p>
    <w:p w:rsidR="00AB17CA" w:rsidRPr="00AB17CA" w:rsidRDefault="00AB17CA" w:rsidP="00AB17CA">
      <w:pPr>
        <w:ind w:firstLine="426"/>
      </w:pPr>
    </w:p>
    <w:sectPr w:rsidR="00AB17CA" w:rsidRPr="00AB1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966" w:rsidRDefault="005B0966" w:rsidP="00AB17CA">
      <w:r>
        <w:separator/>
      </w:r>
    </w:p>
  </w:endnote>
  <w:endnote w:type="continuationSeparator" w:id="0">
    <w:p w:rsidR="005B0966" w:rsidRDefault="005B0966" w:rsidP="00AB17CA">
      <w:r>
        <w:continuationSeparator/>
      </w:r>
    </w:p>
  </w:endnote>
  <w:endnote w:id="1">
    <w:p w:rsidR="00AB17CA" w:rsidRDefault="00AB17CA" w:rsidP="00AB17CA">
      <w:pPr>
        <w:pStyle w:val="a3"/>
        <w:rPr>
          <w:sz w:val="24"/>
          <w:szCs w:val="24"/>
          <w:lang w:val="en-US"/>
        </w:rPr>
      </w:pPr>
      <w:r w:rsidRPr="00941B73">
        <w:rPr>
          <w:sz w:val="24"/>
          <w:szCs w:val="24"/>
          <w:lang w:val="en-US"/>
        </w:rPr>
        <w:endnoteRef/>
      </w:r>
      <w:r w:rsidRPr="00941B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41B73">
        <w:rPr>
          <w:sz w:val="24"/>
          <w:szCs w:val="24"/>
          <w:lang w:val="en-US"/>
        </w:rPr>
        <w:t>Frojmovic</w:t>
      </w:r>
      <w:proofErr w:type="spellEnd"/>
      <w:r w:rsidRPr="00941B73">
        <w:rPr>
          <w:sz w:val="24"/>
          <w:szCs w:val="24"/>
          <w:lang w:val="en-US"/>
        </w:rPr>
        <w:t xml:space="preserve"> MM, </w:t>
      </w:r>
      <w:proofErr w:type="spellStart"/>
      <w:r w:rsidRPr="00941B73">
        <w:rPr>
          <w:sz w:val="24"/>
          <w:szCs w:val="24"/>
          <w:lang w:val="en-US"/>
        </w:rPr>
        <w:t>Panjwani</w:t>
      </w:r>
      <w:proofErr w:type="spellEnd"/>
      <w:r w:rsidRPr="00941B73">
        <w:rPr>
          <w:sz w:val="24"/>
          <w:szCs w:val="24"/>
          <w:lang w:val="en-US"/>
        </w:rPr>
        <w:t xml:space="preserve"> R. </w:t>
      </w:r>
      <w:r w:rsidRPr="00941B73">
        <w:rPr>
          <w:i/>
          <w:sz w:val="24"/>
          <w:szCs w:val="24"/>
          <w:lang w:val="en-US"/>
        </w:rPr>
        <w:t>Geometry of normal mammalian platelets by quantitative microscopic studies.</w:t>
      </w:r>
      <w:proofErr w:type="gramEnd"/>
      <w:r w:rsidRPr="00941B73">
        <w:rPr>
          <w:sz w:val="24"/>
          <w:szCs w:val="24"/>
          <w:lang w:val="en-US"/>
        </w:rPr>
        <w:t xml:space="preserve"> </w:t>
      </w:r>
      <w:proofErr w:type="gramStart"/>
      <w:r w:rsidRPr="00941B73">
        <w:rPr>
          <w:sz w:val="24"/>
          <w:szCs w:val="24"/>
          <w:lang w:val="en-US"/>
        </w:rPr>
        <w:t xml:space="preserve">Biophysical journal, </w:t>
      </w:r>
      <w:proofErr w:type="spellStart"/>
      <w:r w:rsidRPr="00941B73">
        <w:rPr>
          <w:sz w:val="24"/>
          <w:szCs w:val="24"/>
          <w:lang w:val="en-US"/>
        </w:rPr>
        <w:t>vol</w:t>
      </w:r>
      <w:proofErr w:type="spellEnd"/>
      <w:r w:rsidRPr="00941B73">
        <w:rPr>
          <w:sz w:val="24"/>
          <w:szCs w:val="24"/>
          <w:lang w:val="en-US"/>
        </w:rPr>
        <w:t xml:space="preserve"> 16 1976.</w:t>
      </w:r>
      <w:proofErr w:type="gramEnd"/>
    </w:p>
    <w:p w:rsidR="00AB17CA" w:rsidRPr="00941B73" w:rsidRDefault="00AB17CA" w:rsidP="00AB17CA">
      <w:pPr>
        <w:pStyle w:val="a3"/>
        <w:rPr>
          <w:lang w:val="en-US"/>
        </w:rPr>
      </w:pPr>
    </w:p>
  </w:endnote>
  <w:endnote w:id="2">
    <w:p w:rsidR="00AB17CA" w:rsidRPr="00C056F2" w:rsidRDefault="00AB17CA" w:rsidP="00AB17CA">
      <w:pPr>
        <w:pStyle w:val="a3"/>
        <w:rPr>
          <w:sz w:val="24"/>
          <w:szCs w:val="24"/>
          <w:lang w:val="en-US"/>
        </w:rPr>
      </w:pPr>
      <w:r w:rsidRPr="008634D2">
        <w:rPr>
          <w:rStyle w:val="a5"/>
          <w:sz w:val="24"/>
          <w:szCs w:val="24"/>
          <w:vertAlign w:val="baseline"/>
        </w:rPr>
        <w:endnoteRef/>
      </w:r>
      <w:r w:rsidRPr="00C056F2">
        <w:rPr>
          <w:sz w:val="24"/>
          <w:szCs w:val="24"/>
          <w:lang w:val="en-US"/>
        </w:rPr>
        <w:t xml:space="preserve"> </w:t>
      </w:r>
      <w:proofErr w:type="gramStart"/>
      <w:r w:rsidRPr="00C056F2">
        <w:rPr>
          <w:sz w:val="24"/>
          <w:szCs w:val="24"/>
          <w:lang w:val="en-US"/>
        </w:rPr>
        <w:t>M.</w:t>
      </w:r>
      <w:r>
        <w:rPr>
          <w:sz w:val="24"/>
          <w:szCs w:val="24"/>
          <w:lang w:val="en-US"/>
        </w:rPr>
        <w:t xml:space="preserve"> A. </w:t>
      </w:r>
      <w:proofErr w:type="spellStart"/>
      <w:r>
        <w:rPr>
          <w:sz w:val="24"/>
          <w:szCs w:val="24"/>
          <w:lang w:val="en-US"/>
        </w:rPr>
        <w:t>Yurkin</w:t>
      </w:r>
      <w:proofErr w:type="spellEnd"/>
      <w:r>
        <w:rPr>
          <w:sz w:val="24"/>
          <w:szCs w:val="24"/>
          <w:lang w:val="en-US"/>
        </w:rPr>
        <w:t xml:space="preserve"> and A. G. Hoekstra.</w:t>
      </w:r>
      <w:proofErr w:type="gramEnd"/>
      <w:r>
        <w:rPr>
          <w:sz w:val="24"/>
          <w:szCs w:val="24"/>
          <w:lang w:val="en-US"/>
        </w:rPr>
        <w:t xml:space="preserve"> </w:t>
      </w:r>
      <w:r w:rsidRPr="00C056F2">
        <w:rPr>
          <w:i/>
          <w:sz w:val="24"/>
          <w:szCs w:val="24"/>
          <w:lang w:val="en-US"/>
        </w:rPr>
        <w:t>The discrete-dipole-approximation code ADDA: capabilities and known limitations.</w:t>
      </w:r>
      <w:r w:rsidRPr="00C056F2">
        <w:rPr>
          <w:sz w:val="24"/>
          <w:szCs w:val="24"/>
          <w:lang w:val="en-US"/>
        </w:rPr>
        <w:t xml:space="preserve"> J. Quant. </w:t>
      </w:r>
      <w:proofErr w:type="spellStart"/>
      <w:r w:rsidRPr="00C056F2">
        <w:rPr>
          <w:sz w:val="24"/>
          <w:szCs w:val="24"/>
          <w:lang w:val="en-US"/>
        </w:rPr>
        <w:t>Spectrosc</w:t>
      </w:r>
      <w:proofErr w:type="spellEnd"/>
      <w:r w:rsidRPr="00C056F2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C056F2">
        <w:rPr>
          <w:sz w:val="24"/>
          <w:szCs w:val="24"/>
          <w:lang w:val="en-US"/>
        </w:rPr>
        <w:t>Radiat</w:t>
      </w:r>
      <w:proofErr w:type="spellEnd"/>
      <w:r w:rsidRPr="00C056F2">
        <w:rPr>
          <w:sz w:val="24"/>
          <w:szCs w:val="24"/>
          <w:lang w:val="en-US"/>
        </w:rPr>
        <w:t>.</w:t>
      </w:r>
      <w:proofErr w:type="gramEnd"/>
      <w:r w:rsidRPr="00C056F2">
        <w:rPr>
          <w:sz w:val="24"/>
          <w:szCs w:val="24"/>
          <w:lang w:val="en-US"/>
        </w:rPr>
        <w:t xml:space="preserve"> </w:t>
      </w:r>
      <w:proofErr w:type="gramStart"/>
      <w:r w:rsidRPr="00C056F2">
        <w:rPr>
          <w:sz w:val="24"/>
          <w:szCs w:val="24"/>
          <w:lang w:val="en-US"/>
        </w:rPr>
        <w:t>In press.</w:t>
      </w:r>
      <w:proofErr w:type="gramEnd"/>
    </w:p>
    <w:p w:rsidR="00AB17CA" w:rsidRPr="00C056F2" w:rsidRDefault="00AB17CA" w:rsidP="00AB17CA">
      <w:pPr>
        <w:pStyle w:val="a3"/>
        <w:rPr>
          <w:sz w:val="24"/>
          <w:szCs w:val="24"/>
          <w:lang w:val="en-US"/>
        </w:rPr>
      </w:pPr>
    </w:p>
  </w:endnote>
  <w:endnote w:id="3">
    <w:p w:rsidR="00AB17CA" w:rsidRDefault="00AB17CA" w:rsidP="00AB17CA">
      <w:pPr>
        <w:autoSpaceDE w:val="0"/>
        <w:autoSpaceDN w:val="0"/>
        <w:adjustRightInd w:val="0"/>
        <w:spacing w:line="360" w:lineRule="auto"/>
        <w:rPr>
          <w:i/>
          <w:iCs/>
          <w:lang w:val="en-US"/>
        </w:rPr>
      </w:pPr>
      <w:r w:rsidRPr="00331188">
        <w:rPr>
          <w:iCs/>
          <w:lang w:val="en-US"/>
        </w:rPr>
        <w:endnoteRef/>
      </w:r>
      <w:r w:rsidRPr="002D2037">
        <w:rPr>
          <w:i/>
          <w:iCs/>
          <w:lang w:val="en-US"/>
        </w:rPr>
        <w:t xml:space="preserve"> </w:t>
      </w:r>
      <w:r w:rsidRPr="002D2037">
        <w:rPr>
          <w:iCs/>
          <w:lang w:val="en-US"/>
        </w:rPr>
        <w:t>Paulus JM.</w:t>
      </w:r>
      <w:r w:rsidRPr="002D2037">
        <w:rPr>
          <w:i/>
          <w:iCs/>
          <w:lang w:val="en-US"/>
        </w:rPr>
        <w:t xml:space="preserve"> </w:t>
      </w:r>
      <w:proofErr w:type="gramStart"/>
      <w:r w:rsidRPr="002D2037">
        <w:rPr>
          <w:i/>
          <w:iCs/>
          <w:lang w:val="en-US"/>
        </w:rPr>
        <w:t>Platelet size in man.</w:t>
      </w:r>
      <w:proofErr w:type="gramEnd"/>
      <w:r w:rsidRPr="002D2037">
        <w:rPr>
          <w:i/>
          <w:iCs/>
          <w:lang w:val="en-US"/>
        </w:rPr>
        <w:t xml:space="preserve"> </w:t>
      </w:r>
      <w:r w:rsidRPr="002D2037">
        <w:rPr>
          <w:iCs/>
          <w:lang w:val="en-US"/>
        </w:rPr>
        <w:t>Blood, 1975, 46: 321-336</w:t>
      </w:r>
    </w:p>
    <w:p w:rsidR="00AB17CA" w:rsidRPr="002D2037" w:rsidRDefault="00AB17CA" w:rsidP="00AB17CA">
      <w:pPr>
        <w:autoSpaceDE w:val="0"/>
        <w:autoSpaceDN w:val="0"/>
        <w:adjustRightInd w:val="0"/>
        <w:spacing w:line="360" w:lineRule="auto"/>
        <w:rPr>
          <w:lang w:val="en-US"/>
        </w:rPr>
      </w:pPr>
    </w:p>
  </w:endnote>
  <w:endnote w:id="4">
    <w:p w:rsidR="00AB17CA" w:rsidRPr="00331188" w:rsidRDefault="00AB17CA" w:rsidP="00AB17CA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331188">
        <w:rPr>
          <w:lang w:val="en-US"/>
        </w:rPr>
        <w:endnoteRef/>
      </w:r>
      <w:r w:rsidRPr="00331188">
        <w:rPr>
          <w:lang w:val="en-US"/>
        </w:rPr>
        <w:t xml:space="preserve"> </w:t>
      </w:r>
      <w:proofErr w:type="gramStart"/>
      <w:r w:rsidRPr="00331188">
        <w:rPr>
          <w:lang w:val="en-US"/>
        </w:rPr>
        <w:t xml:space="preserve">Adrian R.L. Gear and </w:t>
      </w:r>
      <w:proofErr w:type="spellStart"/>
      <w:r w:rsidRPr="00331188">
        <w:rPr>
          <w:lang w:val="en-US"/>
        </w:rPr>
        <w:t>Renata</w:t>
      </w:r>
      <w:proofErr w:type="spellEnd"/>
      <w:r w:rsidRPr="00331188">
        <w:rPr>
          <w:lang w:val="en-US"/>
        </w:rPr>
        <w:t xml:space="preserve"> K. </w:t>
      </w:r>
      <w:proofErr w:type="spellStart"/>
      <w:r w:rsidRPr="00331188">
        <w:rPr>
          <w:lang w:val="en-US"/>
        </w:rPr>
        <w:t>Polanowska-Grabowska</w:t>
      </w:r>
      <w:proofErr w:type="spellEnd"/>
      <w:r w:rsidRPr="00331188">
        <w:rPr>
          <w:i/>
          <w:lang w:val="en-US"/>
        </w:rPr>
        <w:t>.</w:t>
      </w:r>
      <w:proofErr w:type="gramEnd"/>
      <w:r w:rsidRPr="00331188">
        <w:rPr>
          <w:i/>
          <w:lang w:val="en-US"/>
        </w:rPr>
        <w:t xml:space="preserve"> The platelet shape change.</w:t>
      </w:r>
      <w:r w:rsidRPr="00331188">
        <w:rPr>
          <w:lang w:val="en-US"/>
        </w:rPr>
        <w:t xml:space="preserve"> </w:t>
      </w:r>
      <w:proofErr w:type="gramStart"/>
      <w:r w:rsidRPr="00331188">
        <w:rPr>
          <w:lang w:val="en-US"/>
        </w:rPr>
        <w:t>Platelets in Thrombotic and Non-thrombotic Disorders, Cambridge University Press, 2002.</w:t>
      </w:r>
      <w:proofErr w:type="gramEnd"/>
    </w:p>
    <w:p w:rsidR="00AB17CA" w:rsidRPr="00331188" w:rsidRDefault="00AB17CA" w:rsidP="00AB17CA">
      <w:pPr>
        <w:pStyle w:val="a3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966" w:rsidRDefault="005B0966" w:rsidP="00AB17CA">
      <w:r>
        <w:separator/>
      </w:r>
    </w:p>
  </w:footnote>
  <w:footnote w:type="continuationSeparator" w:id="0">
    <w:p w:rsidR="005B0966" w:rsidRDefault="005B0966" w:rsidP="00AB1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3992"/>
    <w:multiLevelType w:val="hybridMultilevel"/>
    <w:tmpl w:val="B754BB5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709C63AA"/>
    <w:multiLevelType w:val="hybridMultilevel"/>
    <w:tmpl w:val="88AE182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7CA"/>
    <w:rsid w:val="005B0966"/>
    <w:rsid w:val="008634D2"/>
    <w:rsid w:val="00955C24"/>
    <w:rsid w:val="00AB17CA"/>
    <w:rsid w:val="00B27A82"/>
    <w:rsid w:val="00C90F9C"/>
    <w:rsid w:val="00E6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semiHidden/>
    <w:rsid w:val="00AB17CA"/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semiHidden/>
    <w:rsid w:val="00AB17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endnote reference"/>
    <w:basedOn w:val="a0"/>
    <w:semiHidden/>
    <w:rsid w:val="00AB17CA"/>
    <w:rPr>
      <w:vertAlign w:val="superscript"/>
    </w:rPr>
  </w:style>
  <w:style w:type="paragraph" w:styleId="a6">
    <w:name w:val="List Paragraph"/>
    <w:basedOn w:val="a"/>
    <w:uiPriority w:val="34"/>
    <w:qFormat/>
    <w:rsid w:val="00AB17CA"/>
    <w:pPr>
      <w:ind w:left="720"/>
      <w:contextualSpacing/>
    </w:pPr>
  </w:style>
  <w:style w:type="table" w:styleId="a7">
    <w:name w:val="Table Grid"/>
    <w:basedOn w:val="a1"/>
    <w:uiPriority w:val="59"/>
    <w:rsid w:val="00AB17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B17C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B17CA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basedOn w:val="a0"/>
    <w:uiPriority w:val="99"/>
    <w:semiHidden/>
    <w:rsid w:val="00AB17CA"/>
    <w:rPr>
      <w:color w:val="808080"/>
    </w:rPr>
  </w:style>
  <w:style w:type="character" w:styleId="ab">
    <w:name w:val="Hyperlink"/>
    <w:basedOn w:val="a0"/>
    <w:uiPriority w:val="99"/>
    <w:unhideWhenUsed/>
    <w:rsid w:val="00AB17CA"/>
    <w:rPr>
      <w:color w:val="0000FF" w:themeColor="hyperlink"/>
      <w:u w:val="single"/>
    </w:rPr>
  </w:style>
  <w:style w:type="paragraph" w:styleId="ac">
    <w:name w:val="Plain Text"/>
    <w:basedOn w:val="a"/>
    <w:link w:val="ad"/>
    <w:uiPriority w:val="99"/>
    <w:unhideWhenUsed/>
    <w:rsid w:val="00AB17C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d">
    <w:name w:val="Текст Знак"/>
    <w:basedOn w:val="a0"/>
    <w:link w:val="ac"/>
    <w:uiPriority w:val="99"/>
    <w:rsid w:val="00AB17C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semiHidden/>
    <w:rsid w:val="00AB17CA"/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semiHidden/>
    <w:rsid w:val="00AB17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endnote reference"/>
    <w:basedOn w:val="a0"/>
    <w:semiHidden/>
    <w:rsid w:val="00AB17CA"/>
    <w:rPr>
      <w:vertAlign w:val="superscript"/>
    </w:rPr>
  </w:style>
  <w:style w:type="paragraph" w:styleId="a6">
    <w:name w:val="List Paragraph"/>
    <w:basedOn w:val="a"/>
    <w:uiPriority w:val="34"/>
    <w:qFormat/>
    <w:rsid w:val="00AB17CA"/>
    <w:pPr>
      <w:ind w:left="720"/>
      <w:contextualSpacing/>
    </w:pPr>
  </w:style>
  <w:style w:type="table" w:styleId="a7">
    <w:name w:val="Table Grid"/>
    <w:basedOn w:val="a1"/>
    <w:uiPriority w:val="59"/>
    <w:rsid w:val="00AB17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B17C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B17CA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basedOn w:val="a0"/>
    <w:uiPriority w:val="99"/>
    <w:semiHidden/>
    <w:rsid w:val="00AB17CA"/>
    <w:rPr>
      <w:color w:val="808080"/>
    </w:rPr>
  </w:style>
  <w:style w:type="character" w:styleId="ab">
    <w:name w:val="Hyperlink"/>
    <w:basedOn w:val="a0"/>
    <w:uiPriority w:val="99"/>
    <w:unhideWhenUsed/>
    <w:rsid w:val="00AB17CA"/>
    <w:rPr>
      <w:color w:val="0000FF" w:themeColor="hyperlink"/>
      <w:u w:val="single"/>
    </w:rPr>
  </w:style>
  <w:style w:type="paragraph" w:styleId="ac">
    <w:name w:val="Plain Text"/>
    <w:basedOn w:val="a"/>
    <w:link w:val="ad"/>
    <w:uiPriority w:val="99"/>
    <w:unhideWhenUsed/>
    <w:rsid w:val="00AB17C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d">
    <w:name w:val="Текст Знак"/>
    <w:basedOn w:val="a0"/>
    <w:link w:val="ac"/>
    <w:uiPriority w:val="99"/>
    <w:rsid w:val="00AB17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a-dda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Sunmosk</dc:creator>
  <cp:lastModifiedBy>Sunmosk</cp:lastModifiedBy>
  <cp:revision>1</cp:revision>
  <dcterms:created xsi:type="dcterms:W3CDTF">2011-11-09T06:45:00Z</dcterms:created>
  <dcterms:modified xsi:type="dcterms:W3CDTF">2011-11-09T07:48:00Z</dcterms:modified>
</cp:coreProperties>
</file>