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Availability: 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The availability of a system to be accessible and operational for users when it’s needed. Minimizing downtime and service interruptions.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Predictability: 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The ability of a system to behave consistently under the same conditions, producing expected results and reducing unexpected errors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Project measures: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Metrics and indicators used to evaluate project progress, performance, quality, cost, and schedule. Ensuring goals, requirements are met efficiency.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Software Design: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The process of defining software architecture, components and interfaces. Flow to meet performance, functional and requirements effectively.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Design strategies: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Design strategies are systematic approaches used to structure software, ensuring scalability, maintainability, efficiency and usability. Meeting functional requirements while minimizing errors.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Test coverage: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Test coverage measures the extent to which a software system is tested, including code and requirements. And functionality, helping identify untested areas and quality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Change request: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A formal proposal to modify a system, software or a project. Including updates and requirements, design or functionality.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Depth in Tree (DIT):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DIT measures the number of levels from a class to the root in an inheritance hierarchy. Indicating reuse potential and testing effort required.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Failure characteristics: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Attributes, describing how and why a system or a component fails.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Mean Time Between Failures (MTBF)’):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A reliability metric representing the average time a system or a component operates without failure.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