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РВС1/5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«26»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-3-й слой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ИС/5Протокол лабораторных испытаний №117/1/6 от 14.08.2024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26.07.2024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26.07.2024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-4-й слой.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