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FE" w:rsidRDefault="00CC1EFE" w:rsidP="00CC1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077">
        <w:rPr>
          <w:rFonts w:ascii="Times New Roman" w:hAnsi="Times New Roman" w:cs="Times New Roman"/>
          <w:sz w:val="28"/>
          <w:szCs w:val="28"/>
        </w:rPr>
        <w:t xml:space="preserve">Приказ Минздрава России от 28.12.2012 N 1583н "Об утверждении стандарта специализированной медицинском помощи при болезни Паркинсона, требующей стационарного лечения в связи с нестабильной реакцией на </w:t>
      </w:r>
      <w:proofErr w:type="spellStart"/>
      <w:r w:rsidRPr="004A1077">
        <w:rPr>
          <w:rFonts w:ascii="Times New Roman" w:hAnsi="Times New Roman" w:cs="Times New Roman"/>
          <w:sz w:val="28"/>
          <w:szCs w:val="28"/>
        </w:rPr>
        <w:t>противопаркинсонические</w:t>
      </w:r>
      <w:proofErr w:type="spellEnd"/>
      <w:r w:rsidRPr="004A1077">
        <w:rPr>
          <w:rFonts w:ascii="Times New Roman" w:hAnsi="Times New Roman" w:cs="Times New Roman"/>
          <w:sz w:val="28"/>
          <w:szCs w:val="28"/>
        </w:rPr>
        <w:t xml:space="preserve"> средства" (Зарегистрировано в Минюсте России 11.02.2013 N 26971)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12">
        <w:rPr>
          <w:rFonts w:ascii="Times New Roman" w:hAnsi="Times New Roman" w:cs="Times New Roman"/>
          <w:sz w:val="28"/>
          <w:szCs w:val="28"/>
        </w:rPr>
        <w:t xml:space="preserve">Московский консенсус по применению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биоуправления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по опорной реакции в практическом здравоохранении и исследованиях / НИИ нормальной физиологии имени П.К. Анохина. – М., 2017 – 10 с.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Анатомия и физиология человека / </w:t>
      </w: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– М.: Книга по Требованию, 2012. – 215 с.</w:t>
      </w:r>
    </w:p>
    <w:p w:rsidR="00CC1EFE" w:rsidRPr="00A836B7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Штульман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Р., Левин О. С. Нервные болезни: Учебник. – М.: Медицина, 2000. – 464 с.: ил. – (Учеб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лит. Для учащихся мед. училищ и колледжей). – </w:t>
      </w:r>
      <w:r>
        <w:rPr>
          <w:rFonts w:ascii="Times New Roman" w:hAnsi="Times New Roman" w:cs="Times New Roman"/>
          <w:sz w:val="28"/>
          <w:szCs w:val="28"/>
          <w:lang w:val="en-US"/>
        </w:rPr>
        <w:t>ISBN 5-225-04587-1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6B7">
        <w:rPr>
          <w:rFonts w:ascii="Times New Roman" w:hAnsi="Times New Roman" w:cs="Times New Roman"/>
          <w:i/>
          <w:iCs/>
          <w:sz w:val="28"/>
          <w:szCs w:val="28"/>
        </w:rPr>
        <w:t>Кручинин П. А., Лебедев А. В., Холмогорова Н. В.</w:t>
      </w:r>
      <w:r w:rsidRPr="00A836B7">
        <w:rPr>
          <w:rFonts w:ascii="Times New Roman" w:hAnsi="Times New Roman" w:cs="Times New Roman"/>
          <w:sz w:val="28"/>
          <w:szCs w:val="28"/>
        </w:rPr>
        <w:t> ОСОБЕННОСТИ ЧАСТОТНОГО АНАЛИЗА СИГНАЛОВ СИЛОМОМЕНТНЫХ ДАТЧИКОВ В ЗАДАЧЕ ИССЛЕДОВАНИЯ ФИЗИОЛОГИЧЕСКОГО ТРЕМОРА // </w:t>
      </w:r>
      <w:r w:rsidRPr="00A836B7">
        <w:rPr>
          <w:rFonts w:ascii="Times New Roman" w:hAnsi="Times New Roman" w:cs="Times New Roman"/>
          <w:i/>
          <w:iCs/>
          <w:sz w:val="28"/>
          <w:szCs w:val="28"/>
        </w:rPr>
        <w:t>Российский журнал биомеханики</w:t>
      </w:r>
      <w:r w:rsidRPr="00A836B7">
        <w:rPr>
          <w:rFonts w:ascii="Times New Roman" w:hAnsi="Times New Roman" w:cs="Times New Roman"/>
          <w:sz w:val="28"/>
          <w:szCs w:val="28"/>
        </w:rPr>
        <w:t xml:space="preserve">. — 2013. — Т. 17, № 1. — С. 64–77.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Силомоментные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датчики используют для оценки функционального состояния, неврологических и ортопедических патологий человека. Сигнал, измеренный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силомоментным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датчиком, взаимодействующим с телом человека или его сегментами, является интегративным. Он включает механические составляющие, обусловленные системой управления движением, а также, дыханием,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кардиоритмом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и т.п., что находит свое отражение в его частотном спектре. В работе обсуждается задача выделения </w:t>
      </w:r>
      <w:proofErr w:type="spellStart"/>
      <w:r w:rsidRPr="00A836B7">
        <w:rPr>
          <w:rFonts w:ascii="Times New Roman" w:hAnsi="Times New Roman" w:cs="Times New Roman"/>
          <w:sz w:val="28"/>
          <w:szCs w:val="28"/>
        </w:rPr>
        <w:t>треморных</w:t>
      </w:r>
      <w:proofErr w:type="spellEnd"/>
      <w:r w:rsidRPr="00A836B7">
        <w:rPr>
          <w:rFonts w:ascii="Times New Roman" w:hAnsi="Times New Roman" w:cs="Times New Roman"/>
          <w:sz w:val="28"/>
          <w:szCs w:val="28"/>
        </w:rPr>
        <w:t xml:space="preserve"> составляющих, порожденных последовательным сокращением скелетных мышц.</w:t>
      </w:r>
    </w:p>
    <w:p w:rsidR="00CC1EFE" w:rsidRDefault="00CC1EFE" w:rsidP="00CC1EFE">
      <w:pPr>
        <w:pStyle w:val="a3"/>
        <w:numPr>
          <w:ilvl w:val="0"/>
          <w:numId w:val="1"/>
        </w:numPr>
        <w:spacing w:after="0" w:line="360" w:lineRule="auto"/>
        <w:rPr>
          <w:rStyle w:val="fontstyle01"/>
          <w:lang w:val="en-US"/>
        </w:rPr>
      </w:pPr>
      <w:r w:rsidRPr="00A427F8">
        <w:rPr>
          <w:rStyle w:val="fontstyle01"/>
          <w:lang w:val="en-US"/>
        </w:rPr>
        <w:t xml:space="preserve">Mark Hammond. Python Programming on Win32 / Mark Hammond, Andy Robinson. - O'Reilly &amp; Associates, Inc., 2000. – P. 652 </w:t>
      </w:r>
    </w:p>
    <w:p w:rsidR="00CC1EFE" w:rsidRPr="00E54B7F" w:rsidRDefault="00CC1EFE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Диагностика ранних неврологических нарушений с помощью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силомоментных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аппаратно-программных комплексов / Н. В. Холмогорова, П. А. Кручинин, Ю. С. 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Левик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 др. // </w:t>
      </w:r>
      <w:r w:rsidRPr="00317BF1">
        <w:rPr>
          <w:rStyle w:val="a4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Известия ЮФУ. Технические науки</w:t>
      </w:r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— 2012. — Т. 134, № 9. — С. 256–261. В работе обсуждается технология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неинвазивной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диагностики ранних неврологических нарушений. Рассматриваются приемы диагностики, основанные на регистрации и последующем спектральном анализе колебательных движений тела человека и его частей, вызванных ритмическими биениями сердца, дыханием, сокращением отдельных двигательных единиц и т.д. Приводятся результаты апробации отдельных элементов технологии на примере анализа особенностей моторной регуляции пациентов с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паркинсоническими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нарушениями. Показано, что наиболее полную информацию для подобной диагностики предоставляет аппаратно-программный комплекс с распределенной системой </w:t>
      </w:r>
      <w:proofErr w:type="spellStart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силомоментных</w:t>
      </w:r>
      <w:proofErr w:type="spellEnd"/>
      <w:r w:rsidRPr="00317B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датчиков. </w:t>
      </w:r>
    </w:p>
    <w:p w:rsidR="00E54B7F" w:rsidRPr="00625B94" w:rsidRDefault="00E54B7F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Аппаратно-программный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стабилографический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комплекс для диагностики функциональных и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преморбидных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состояний человека / П. А. Кручинин, Н. В. Холмогорова, С. С. Слива и др. // </w:t>
      </w:r>
      <w:r w:rsidRPr="00E54B7F">
        <w:rPr>
          <w:rFonts w:ascii="Times New Roman" w:hAnsi="Times New Roman" w:cs="Times New Roman"/>
          <w:i/>
          <w:iCs/>
          <w:sz w:val="28"/>
          <w:szCs w:val="28"/>
        </w:rPr>
        <w:t>Известия Южного федерального университета. Технические науки</w:t>
      </w: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— 2009. — Т. 98, № 9. — С. 117–123. Описывается аппаратно-программный комплекс дл</w:t>
      </w:r>
      <w:r w:rsid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оценки функционального и пси</w:t>
      </w:r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хофизиологического состояния сидящего человека на основе кресла,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очувствленного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сило</w:t>
      </w:r>
      <w:proofErr w:type="spellEnd"/>
      <w:r w:rsidRPr="00E54B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координатными датчиками.</w:t>
      </w:r>
    </w:p>
    <w:p w:rsidR="00F12F28" w:rsidRPr="00E6562B" w:rsidRDefault="0004481E" w:rsidP="00CC1EF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</w:pPr>
      <w:r w:rsidRPr="00D0265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https://docs.microsoft.com/en-us/windows/desktop/com/component-object-model--com--portal</w:t>
      </w:r>
    </w:p>
    <w:p w:rsidR="0004481E" w:rsidRDefault="0004481E" w:rsidP="0004481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Стабилометрические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параметры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памятка начинающему пользователю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Электронный ресурс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В. И. Усачев, С. С. Слива –  ЗАО «ОКБ «Ритм» – 2011 – Режим доступа: </w:t>
      </w:r>
      <w:r w:rsidRPr="00044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http://www.rista.ru/production/stabila/docs/memo.pdf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(10.05.2019)</w:t>
      </w:r>
    </w:p>
    <w:p w:rsidR="007C44F5" w:rsidRPr="00D86FEB" w:rsidRDefault="007C44F5" w:rsidP="001B4CF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Скворцов Д.В. </w:t>
      </w:r>
      <w:proofErr w:type="spellStart"/>
      <w:r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Стабилометрическое</w:t>
      </w:r>
      <w:proofErr w:type="spellEnd"/>
      <w:r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02655"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исследование:</w:t>
      </w:r>
      <w:r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краткое руководство /Д. В. Скворцов — М.: Маска, 2010. — 172 с.: ил.</w:t>
      </w:r>
      <w:r w:rsidR="001B4CF4" w:rsidRPr="001B4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B4CF4" w:rsidRPr="007C4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1B4CF4" w:rsidRPr="001B4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B4CF4"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="001B4CF4" w:rsidRPr="001B4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ISBN 978-5-91146-505-6</w:t>
      </w:r>
    </w:p>
    <w:p w:rsidR="00D86FEB" w:rsidRDefault="00D86FEB" w:rsidP="00D86F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Слива А. С., Подопригора Р. В., </w:t>
      </w:r>
      <w:proofErr w:type="spellStart"/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Переяслов</w:t>
      </w:r>
      <w:proofErr w:type="spellEnd"/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Г. А. Использование </w:t>
      </w:r>
      <w:proofErr w:type="spellStart"/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стабилоанализатора</w:t>
      </w:r>
      <w:proofErr w:type="spellEnd"/>
      <w:r w:rsidRPr="00D86F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Стабилан-01 для совершенствования спортивного мастерства в боксе // ИВД. 2014. №4-2. URL: https://cyberleninka.ru/article/n/ispolzovanie-stabiloanalizatora-stabilan-01-dlya-sovershenstvovaniya-sportivnogo-masterstva-v-bokse (дата обращения: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10.05.2019</w:t>
      </w:r>
      <w:r w:rsid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730972" w:rsidRDefault="00730972" w:rsidP="0073097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Цифровое Здравоохранение. Труды XIX Международного конгресса «Информационные технологии в медицине» (Москва, 11—12 октября 2018), электронное издание ― М.: </w:t>
      </w:r>
      <w:proofErr w:type="spellStart"/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Консэф</w:t>
      </w:r>
      <w:proofErr w:type="spellEnd"/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2018 ― URL:</w:t>
      </w:r>
      <w:r w:rsidR="00D026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A2444" w:rsidRPr="00D026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https://itmcongress.ru/itm2018/proceedings/</w:t>
      </w:r>
    </w:p>
    <w:p w:rsidR="002A2444" w:rsidRDefault="002A2444" w:rsidP="002A2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Машинное обучен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ие.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СПб.: Питер, 201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336 с.: ил.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(Серия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«Библиотека программиста»).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ISBN 978-5-496-02989-6</w:t>
      </w:r>
    </w:p>
    <w:p w:rsidR="006236A0" w:rsidRPr="00B33EAE" w:rsidRDefault="006236A0" w:rsidP="002A2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Силен Дэви,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Мейсман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Арно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Али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Мохамед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Основы</w:t>
      </w:r>
      <w:r w:rsidRPr="006236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Data Science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6236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Big Data. Python</w:t>
      </w:r>
      <w:r w:rsidRPr="006236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наука о данных.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СПб.: Питер, 201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 w:rsidRPr="002A24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336 с.: ил.</w:t>
      </w:r>
      <w:r w:rsidRPr="00730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― </w:t>
      </w: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(Серия «Библиотека программиста»).</w:t>
      </w:r>
      <w:r w:rsidR="00170434"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170434"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ISBN 978-5-496-02</w:t>
      </w:r>
      <w:r w:rsidR="00170434"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517-1</w:t>
      </w:r>
    </w:p>
    <w:p w:rsidR="00502E63" w:rsidRDefault="00502E63" w:rsidP="002A2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Митькина П.А. Особенности хранения медицинской информации // Современные научные исследования и инновации. 2017.</w:t>
      </w: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№ 5 [Электронный ресурс]. URL: </w:t>
      </w:r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http://web.snauka.ru/issues/2017/05/82546 (</w:t>
      </w:r>
      <w:proofErr w:type="spellStart"/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дата</w:t>
      </w:r>
      <w:proofErr w:type="spellEnd"/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обращения</w:t>
      </w:r>
      <w:proofErr w:type="spellEnd"/>
      <w:r w:rsidRPr="00B33E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25.03.2019).</w:t>
      </w:r>
    </w:p>
    <w:p w:rsidR="003767AD" w:rsidRDefault="003767AD" w:rsidP="003767A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Карасев Н.А., Васильев В.А., Максимов А.И., 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Молодов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Валентин Альбертович Организационные, правовые и технологические аспекты обмена медицинской информацией // НМП. 2017. №1. 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URL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cyberleninka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ru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article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organizatsionnye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pravovye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tehnologicheskie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aspekty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obmena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meditsinskoy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spellStart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informatsiey</w:t>
      </w:r>
      <w:proofErr w:type="spellEnd"/>
      <w:r w:rsidRPr="003767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(дата обращения: 20.06.2019). </w:t>
      </w:r>
    </w:p>
    <w:p w:rsidR="00AF0AD4" w:rsidRDefault="00AF0AD4" w:rsidP="00AF0AD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Официальный сайт 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DICOM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// 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DICOM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/2017/ 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URL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proofErr w:type="spellStart"/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dicom</w:t>
      </w:r>
      <w:proofErr w:type="spellEnd"/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nema</w:t>
      </w:r>
      <w:proofErr w:type="spellEnd"/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org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 (дата обращения: </w:t>
      </w:r>
      <w:r w:rsidRPr="008777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25.03.2019</w:t>
      </w:r>
      <w:r w:rsidRPr="00AF0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8777FD" w:rsidRDefault="008777FD" w:rsidP="00AF0AD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Ильиных Т. Е., Шустова Л. И. Проектирование реляционных баз данных в нотациях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IDEF</w:t>
      </w:r>
      <w:r w:rsidRPr="008777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8777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М.:МИФИ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2000. – 136 с.</w:t>
      </w:r>
    </w:p>
    <w:p w:rsidR="002D456D" w:rsidRPr="00563420" w:rsidRDefault="002D456D" w:rsidP="002D45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4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5" w:history="1"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en-US"/>
          </w:rPr>
          <w:t>https</w:t>
        </w:r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://</w:t>
        </w:r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en-US"/>
          </w:rPr>
          <w:t>www</w:t>
        </w:r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.</w:t>
        </w:r>
        <w:proofErr w:type="spellStart"/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en-US"/>
          </w:rPr>
          <w:t>sqlite</w:t>
        </w:r>
        <w:proofErr w:type="spellEnd"/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.</w:t>
        </w:r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en-US"/>
          </w:rPr>
          <w:t>org</w:t>
        </w:r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/</w:t>
        </w:r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en-US"/>
          </w:rPr>
          <w:t>index</w:t>
        </w:r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.</w:t>
        </w:r>
        <w:r w:rsidR="00563420" w:rsidRPr="00FA5544">
          <w:rPr>
            <w:rStyle w:val="a5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en-US"/>
          </w:rPr>
          <w:t>html</w:t>
        </w:r>
      </w:hyperlink>
    </w:p>
    <w:p w:rsidR="00563420" w:rsidRPr="00563420" w:rsidRDefault="00563420" w:rsidP="0056342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63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3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Прохоренок</w:t>
      </w:r>
      <w:proofErr w:type="spellEnd"/>
      <w:r w:rsidRPr="00563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Н. А. </w:t>
      </w:r>
      <w:proofErr w:type="spellStart"/>
      <w:r w:rsidRPr="00563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563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 и </w:t>
      </w:r>
      <w:proofErr w:type="spellStart"/>
      <w:r w:rsidRPr="00563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PyQt</w:t>
      </w:r>
      <w:proofErr w:type="spellEnd"/>
      <w:r w:rsidRPr="00563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</w:t>
      </w:r>
      <w:r w:rsidR="008834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8834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Разрабокта</w:t>
      </w:r>
      <w:proofErr w:type="spellEnd"/>
      <w:r w:rsidR="008834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приложений / Н. А. </w:t>
      </w:r>
      <w:proofErr w:type="spellStart"/>
      <w:r w:rsidRPr="00563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Прохоренок</w:t>
      </w:r>
      <w:proofErr w:type="spellEnd"/>
      <w:r w:rsidRPr="005634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В. А. Дронов. – СПб.: БХВ-Петербург, 2016. – 832 с.: ил.</w:t>
      </w:r>
    </w:p>
    <w:p w:rsidR="00563420" w:rsidRPr="00AF0AD4" w:rsidRDefault="008834D7" w:rsidP="002D45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AF0AD4" w:rsidRPr="00AF0AD4" w:rsidRDefault="00AF0AD4" w:rsidP="00AF0AD4">
      <w:pPr>
        <w:spacing w:after="0" w:line="36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AF0AD4" w:rsidRPr="00AF0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21B5"/>
    <w:multiLevelType w:val="hybridMultilevel"/>
    <w:tmpl w:val="99EE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64"/>
    <w:rsid w:val="0004481E"/>
    <w:rsid w:val="00170434"/>
    <w:rsid w:val="001B4CF4"/>
    <w:rsid w:val="002A2444"/>
    <w:rsid w:val="002D456D"/>
    <w:rsid w:val="0030340B"/>
    <w:rsid w:val="003767AD"/>
    <w:rsid w:val="00502E63"/>
    <w:rsid w:val="00563420"/>
    <w:rsid w:val="006236A0"/>
    <w:rsid w:val="00625B94"/>
    <w:rsid w:val="00730972"/>
    <w:rsid w:val="007C44F5"/>
    <w:rsid w:val="008777FD"/>
    <w:rsid w:val="008834D7"/>
    <w:rsid w:val="009C5264"/>
    <w:rsid w:val="00AF0AD4"/>
    <w:rsid w:val="00B33EAE"/>
    <w:rsid w:val="00C62EDA"/>
    <w:rsid w:val="00C73A6E"/>
    <w:rsid w:val="00CA042A"/>
    <w:rsid w:val="00CC1EFE"/>
    <w:rsid w:val="00D02655"/>
    <w:rsid w:val="00D86FEB"/>
    <w:rsid w:val="00E54B7F"/>
    <w:rsid w:val="00E6562B"/>
    <w:rsid w:val="00EE262F"/>
    <w:rsid w:val="00F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1DFF"/>
  <w15:chartTrackingRefBased/>
  <w15:docId w15:val="{C9675DF2-4A2B-4A39-92F6-091C5476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A6E"/>
    <w:pPr>
      <w:ind w:left="720"/>
      <w:contextualSpacing/>
    </w:pPr>
  </w:style>
  <w:style w:type="character" w:customStyle="1" w:styleId="fontstyle01">
    <w:name w:val="fontstyle01"/>
    <w:basedOn w:val="a0"/>
    <w:rsid w:val="00C73A6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Emphasis"/>
    <w:basedOn w:val="a0"/>
    <w:uiPriority w:val="20"/>
    <w:qFormat/>
    <w:rsid w:val="00CC1EFE"/>
    <w:rPr>
      <w:i/>
      <w:iCs/>
    </w:rPr>
  </w:style>
  <w:style w:type="character" w:styleId="a5">
    <w:name w:val="Hyperlink"/>
    <w:basedOn w:val="a0"/>
    <w:uiPriority w:val="99"/>
    <w:unhideWhenUsed/>
    <w:rsid w:val="0004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ite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28</cp:revision>
  <dcterms:created xsi:type="dcterms:W3CDTF">2019-05-07T11:06:00Z</dcterms:created>
  <dcterms:modified xsi:type="dcterms:W3CDTF">2019-06-21T03:07:00Z</dcterms:modified>
</cp:coreProperties>
</file>