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0BAA" w:rsidRPr="00980BAA" w:rsidRDefault="00980BAA" w:rsidP="00980BAA">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980BAA">
        <w:rPr>
          <w:rFonts w:ascii="Times New Roman" w:eastAsia="Times New Roman" w:hAnsi="Times New Roman" w:cs="Times New Roman"/>
          <w:b/>
          <w:bCs/>
          <w:kern w:val="0"/>
          <w:sz w:val="36"/>
          <w:szCs w:val="36"/>
          <w:lang w:eastAsia="ru-RU"/>
          <w14:ligatures w14:val="none"/>
        </w:rPr>
        <w:t>Цель исследования</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Собрать панель данных для статистического исследования </w:t>
      </w:r>
      <w:r w:rsidRPr="00980BAA">
        <w:rPr>
          <w:rFonts w:ascii="Times New Roman" w:eastAsia="Times New Roman" w:hAnsi="Times New Roman" w:cs="Times New Roman"/>
          <w:b/>
          <w:bCs/>
          <w:kern w:val="0"/>
          <w:lang w:eastAsia="ru-RU"/>
          <w14:ligatures w14:val="none"/>
        </w:rPr>
        <w:t>финансовой устойчивости отдельных банков (кредитных организаций) российского банковского сектора</w:t>
      </w:r>
      <w:r w:rsidRPr="00980BAA">
        <w:rPr>
          <w:rFonts w:ascii="Times New Roman" w:eastAsia="Times New Roman" w:hAnsi="Times New Roman" w:cs="Times New Roman"/>
          <w:kern w:val="0"/>
          <w:lang w:eastAsia="ru-RU"/>
          <w14:ligatures w14:val="none"/>
        </w:rPr>
        <w:t>.</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Единица наблюдения:</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отдельная кредитная организация (банк)</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смешивать индивидуальные показатели банка с показателями банковской группы.</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pict w14:anchorId="4D4DA0AE">
          <v:rect id="Horizontal Line 1"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1. Основной идентификатор банка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Использовать:</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REGN_GKO</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как основной идентификатор кредитной организации.</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Для целей исследования принять рабочее правило:</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REGN_GKO</w:t>
      </w:r>
      <w:r w:rsidRPr="00980BAA">
        <w:rPr>
          <w:rFonts w:ascii="Times New Roman" w:eastAsia="Times New Roman" w:hAnsi="Times New Roman" w:cs="Times New Roman"/>
          <w:kern w:val="0"/>
          <w:lang w:eastAsia="ru-RU"/>
          <w14:ligatures w14:val="none"/>
        </w:rPr>
        <w:t> = регистрационный номер банка = идентификатор банка в статистической выборке.</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Для каждого значения </w:t>
      </w:r>
      <w:r w:rsidRPr="00980BAA">
        <w:rPr>
          <w:rFonts w:ascii="Courier New" w:eastAsia="Times New Roman" w:hAnsi="Courier New" w:cs="Courier New"/>
          <w:kern w:val="0"/>
          <w:sz w:val="20"/>
          <w:szCs w:val="20"/>
          <w:lang w:eastAsia="ru-RU"/>
          <w14:ligatures w14:val="none"/>
        </w:rPr>
        <w:t>REGN_GKO</w:t>
      </w:r>
      <w:r w:rsidRPr="00980BAA">
        <w:rPr>
          <w:rFonts w:ascii="Times New Roman" w:eastAsia="Times New Roman" w:hAnsi="Times New Roman" w:cs="Times New Roman"/>
          <w:kern w:val="0"/>
          <w:lang w:eastAsia="ru-RU"/>
          <w14:ligatures w14:val="none"/>
        </w:rPr>
        <w:t> должна существовать одна соответствующая кредитная организация в конкретную дату наблюдения.</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использовать в качестве основного идентификатора:</w:t>
      </w:r>
    </w:p>
    <w:p w:rsidR="00980BAA" w:rsidRPr="00980BAA" w:rsidRDefault="00980BAA" w:rsidP="00980BAA">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внутренний BankId сайта analizbankov;</w:t>
      </w:r>
    </w:p>
    <w:p w:rsidR="00980BAA" w:rsidRPr="00980BAA" w:rsidRDefault="00980BAA" w:rsidP="00980BAA">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ИНН;</w:t>
      </w:r>
    </w:p>
    <w:p w:rsidR="00980BAA" w:rsidRPr="00980BAA" w:rsidRDefault="00980BAA" w:rsidP="00980BAA">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БИК;</w:t>
      </w:r>
    </w:p>
    <w:p w:rsidR="00980BAA" w:rsidRPr="00980BAA" w:rsidRDefault="00980BAA" w:rsidP="00980BAA">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URL-ID;</w:t>
      </w:r>
    </w:p>
    <w:p w:rsidR="00980BAA" w:rsidRPr="00980BAA" w:rsidRDefault="00980BAA" w:rsidP="00980BAA">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иные технические идентификаторы.</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6" alt="" style="width:451.3pt;height:.05pt;mso-width-percent:0;mso-height-percent:0;mso-width-percent:0;mso-height-percent:0" o:hralign="center" o:hrstd="t" o:hr="t" fillcolor="#a0a0a0" stroked="f"/>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2. Название банка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Использовать сайт:</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analizbankov.ru</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исключительно для получения человекочитаемого названия банка.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Алгоритм:</w:t>
      </w:r>
    </w:p>
    <w:p w:rsidR="00980BAA" w:rsidRPr="00980BAA" w:rsidRDefault="00980BAA" w:rsidP="00980BAA">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lastRenderedPageBreak/>
        <w:t>Получить </w:t>
      </w:r>
      <w:r w:rsidRPr="00980BAA">
        <w:rPr>
          <w:rFonts w:ascii="Courier New" w:eastAsia="Times New Roman" w:hAnsi="Courier New" w:cs="Courier New"/>
          <w:kern w:val="0"/>
          <w:sz w:val="20"/>
          <w:szCs w:val="20"/>
          <w:lang w:eastAsia="ru-RU"/>
          <w14:ligatures w14:val="none"/>
        </w:rPr>
        <w:t>REGN_GKO</w:t>
      </w:r>
      <w:r w:rsidRPr="00980BAA">
        <w:rPr>
          <w:rFonts w:ascii="Times New Roman" w:eastAsia="Times New Roman" w:hAnsi="Times New Roman" w:cs="Times New Roman"/>
          <w:kern w:val="0"/>
          <w:lang w:eastAsia="ru-RU"/>
          <w14:ligatures w14:val="none"/>
        </w:rPr>
        <w:t>.</w:t>
      </w:r>
    </w:p>
    <w:p w:rsidR="00980BAA" w:rsidRPr="00980BAA" w:rsidRDefault="00980BAA" w:rsidP="00980BAA">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Найти на analizbankov соответствующий банк по регистрационному номеру.</w:t>
      </w:r>
    </w:p>
    <w:p w:rsidR="00980BAA" w:rsidRPr="00980BAA" w:rsidRDefault="00980BAA" w:rsidP="00980BAA">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Взять название банка.</w:t>
      </w:r>
    </w:p>
    <w:p w:rsidR="00980BAA" w:rsidRPr="00980BAA" w:rsidRDefault="00980BAA" w:rsidP="00980BAA">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Использовать это название в итоговой таблице.</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Из analizbankov </w:t>
      </w:r>
      <w:r w:rsidRPr="00980BAA">
        <w:rPr>
          <w:rFonts w:ascii="Times New Roman" w:eastAsia="Times New Roman" w:hAnsi="Times New Roman" w:cs="Times New Roman"/>
          <w:b/>
          <w:bCs/>
          <w:kern w:val="0"/>
          <w:lang w:eastAsia="ru-RU"/>
          <w14:ligatures w14:val="none"/>
        </w:rPr>
        <w:t>НЕ брать числовые значения финансовых показателей</w:t>
      </w:r>
      <w:r w:rsidRPr="00980BAA">
        <w:rPr>
          <w:rFonts w:ascii="Times New Roman" w:eastAsia="Times New Roman" w:hAnsi="Times New Roman" w:cs="Times New Roman"/>
          <w:kern w:val="0"/>
          <w:lang w:eastAsia="ru-RU"/>
          <w14:ligatures w14:val="none"/>
        </w:rPr>
        <w:t>.</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t>Жесткое правило источников</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analizbankov → только название банка.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Банк России → все числовые данные.</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дублировать данные между источниками.</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5" alt="" style="width:451.3pt;height:.05pt;mso-width-percent:0;mso-height-percent:0;mso-width-percent:0;mso-height-percent:0" o:hralign="center" o:hrstd="t" o:hr="t" fillcolor="#a0a0a0" stroked="f"/>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3. Главный источник обязательных нормативов</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Для индивидуальных банков использовать официальную отчетность Банка России:</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Форма 0409135 — «Информация об обязательных нормативах и о других показателях деятельности кредитной организации».</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Основные нормативы:</w:t>
      </w:r>
    </w:p>
    <w:p w:rsidR="00980BAA" w:rsidRPr="00980BAA" w:rsidRDefault="00980BAA" w:rsidP="00980BAA">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Н1.1 — норматив достаточности базового капитала банка;</w:t>
      </w:r>
    </w:p>
    <w:p w:rsidR="00980BAA" w:rsidRPr="00980BAA" w:rsidRDefault="00980BAA" w:rsidP="00980BAA">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Н1.2 — норматив достаточности основного капитала банка;</w:t>
      </w:r>
    </w:p>
    <w:p w:rsidR="00980BAA" w:rsidRPr="00980BAA" w:rsidRDefault="00980BAA" w:rsidP="00980BAA">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Н1.0 — норматив достаточности собственных средств (капитала) банка;</w:t>
      </w:r>
    </w:p>
    <w:p w:rsidR="00980BAA" w:rsidRPr="00980BAA" w:rsidRDefault="00980BAA" w:rsidP="00980BAA">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Н1.4 — норматив финансового рычага;</w:t>
      </w:r>
    </w:p>
    <w:p w:rsidR="00980BAA" w:rsidRPr="00980BAA" w:rsidRDefault="00980BAA" w:rsidP="00980BAA">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другие индивидуальные нормативы, если они нужны пользователю.</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Использовать именно </w:t>
      </w:r>
      <w:r w:rsidRPr="00980BAA">
        <w:rPr>
          <w:rFonts w:ascii="Times New Roman" w:eastAsia="Times New Roman" w:hAnsi="Times New Roman" w:cs="Times New Roman"/>
          <w:b/>
          <w:bCs/>
          <w:kern w:val="0"/>
          <w:lang w:eastAsia="ru-RU"/>
          <w14:ligatures w14:val="none"/>
        </w:rPr>
        <w:t>индивидуальные показатели банка</w:t>
      </w:r>
      <w:r w:rsidRPr="00980BAA">
        <w:rPr>
          <w:rFonts w:ascii="Times New Roman" w:eastAsia="Times New Roman" w:hAnsi="Times New Roman" w:cs="Times New Roman"/>
          <w:kern w:val="0"/>
          <w:lang w:eastAsia="ru-RU"/>
          <w14:ligatures w14:val="none"/>
        </w:rPr>
        <w:t>.</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4" alt="" style="width:451.3pt;height:.05pt;mso-width-percent:0;mso-height-percent:0;mso-width-percent:0;mso-height-percent:0" o:hralign="center" o:hrstd="t" o:hr="t" fillcolor="#a0a0a0" stroked="f"/>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4. Критически важное правило: НЕ использовать Н20.x</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В основной выборке исследования </w:t>
      </w:r>
      <w:r w:rsidRPr="00980BAA">
        <w:rPr>
          <w:rFonts w:ascii="Times New Roman" w:eastAsia="Times New Roman" w:hAnsi="Times New Roman" w:cs="Times New Roman"/>
          <w:b/>
          <w:bCs/>
          <w:kern w:val="0"/>
          <w:lang w:eastAsia="ru-RU"/>
          <w14:ligatures w14:val="none"/>
        </w:rPr>
        <w:t>не использовать</w:t>
      </w:r>
      <w:r w:rsidRPr="00980BAA">
        <w:rPr>
          <w:rFonts w:ascii="Times New Roman" w:eastAsia="Times New Roman" w:hAnsi="Times New Roman" w:cs="Times New Roman"/>
          <w:kern w:val="0"/>
          <w:lang w:eastAsia="ru-RU"/>
          <w14:ligatures w14:val="none"/>
        </w:rPr>
        <w:t>:</w:t>
      </w:r>
    </w:p>
    <w:p w:rsidR="00980BAA" w:rsidRPr="00980BAA" w:rsidRDefault="00980BAA" w:rsidP="00980BAA">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Н20.0;</w:t>
      </w:r>
    </w:p>
    <w:p w:rsidR="00980BAA" w:rsidRPr="00980BAA" w:rsidRDefault="00980BAA" w:rsidP="00980BAA">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Н20.1;</w:t>
      </w:r>
    </w:p>
    <w:p w:rsidR="00980BAA" w:rsidRPr="00980BAA" w:rsidRDefault="00980BAA" w:rsidP="00980BAA">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Н20.2;</w:t>
      </w:r>
    </w:p>
    <w:p w:rsidR="00980BAA" w:rsidRPr="00980BAA" w:rsidRDefault="00980BAA" w:rsidP="00980BAA">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другие показатели банковской группы.</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lastRenderedPageBreak/>
        <w:t>Не заменять Н1.1 на Н20.1.</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смешивать в одной переменной:</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Н1.1 банка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Н20.1 банковской группы</w:t>
      </w:r>
      <w:r w:rsidRPr="00980BAA">
        <w:rPr>
          <w:rFonts w:ascii="Times New Roman" w:eastAsia="Times New Roman" w:hAnsi="Times New Roman" w:cs="Times New Roman"/>
          <w:kern w:val="0"/>
          <w:lang w:eastAsia="ru-RU"/>
          <w14:ligatures w14:val="none"/>
        </w:rPr>
        <w:t>.</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Форма 0409805 «Расчет собственных средств (капитала) и значений обязательных нормативов банковской группы» </w:t>
      </w:r>
      <w:r w:rsidRPr="00980BAA">
        <w:rPr>
          <w:rFonts w:ascii="Times New Roman" w:eastAsia="Times New Roman" w:hAnsi="Times New Roman" w:cs="Times New Roman"/>
          <w:b/>
          <w:bCs/>
          <w:kern w:val="0"/>
          <w:lang w:eastAsia="ru-RU"/>
          <w14:ligatures w14:val="none"/>
        </w:rPr>
        <w:t>не является основным источником нормативов для данной базы</w:t>
      </w:r>
      <w:r w:rsidRPr="00980BAA">
        <w:rPr>
          <w:rFonts w:ascii="Times New Roman" w:eastAsia="Times New Roman" w:hAnsi="Times New Roman" w:cs="Times New Roman"/>
          <w:kern w:val="0"/>
          <w:lang w:eastAsia="ru-RU"/>
          <w14:ligatures w14:val="none"/>
        </w:rPr>
        <w:t>.</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3" alt="" style="width:451.3pt;height:.05pt;mso-width-percent:0;mso-height-percent:0;mso-width-percent:0;mso-height-percent:0" o:hralign="center" o:hrstd="t" o:hr="t" fillcolor="#a0a0a0" stroked="f"/>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5. Важный нюанс публикуемой формы ЦБ</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В некоторых официальных таблицах Банка России строка может отображаться как:</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«Норматив достаточности базового капитала Н1.1 (Н20.1)»</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или аналогично для других нормативов.</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В таком случае необходимо определить, какая именно колонка/значение относится к:</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индивидуальному банку Н1.1</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а какая — к:</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банковской группе Н20.1</w:t>
      </w:r>
      <w:r w:rsidRPr="00980BAA">
        <w:rPr>
          <w:rFonts w:ascii="Times New Roman" w:eastAsia="Times New Roman" w:hAnsi="Times New Roman" w:cs="Times New Roman"/>
          <w:kern w:val="0"/>
          <w:lang w:eastAsia="ru-RU"/>
          <w14:ligatures w14:val="none"/>
        </w:rPr>
        <w:t>.</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объединять их в одно значение.</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Если однозначно определить индивидуальную величину невозможно, не угадывать и сообщить о проблеме.</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2" alt="" style="width:451.3pt;height:.05pt;mso-width-percent:0;mso-height-percent:0;mso-width-percent:0;mso-height-percent:0" o:hralign="center" o:hrstd="t" o:hr="t" fillcolor="#a0a0a0" stroked="f"/>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6. Финансовые показатели</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Для финансовых показателей использовать официальные индивидуальные формы отчетности Банка России.</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В частности:</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lastRenderedPageBreak/>
        <w:t>Форма 0409102</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«Отчет о финансовых результатах»</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Использовать для:</w:t>
      </w:r>
    </w:p>
    <w:p w:rsidR="00980BAA" w:rsidRPr="00980BAA" w:rsidRDefault="00980BAA" w:rsidP="00980BAA">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прибыли до налогообложения;</w:t>
      </w:r>
    </w:p>
    <w:p w:rsidR="00980BAA" w:rsidRPr="00980BAA" w:rsidRDefault="00980BAA" w:rsidP="00980BAA">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расхода по налогу на прибыль;</w:t>
      </w:r>
    </w:p>
    <w:p w:rsidR="00980BAA" w:rsidRPr="00980BAA" w:rsidRDefault="00980BAA" w:rsidP="00980BAA">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прибыли после налогообложения;</w:t>
      </w:r>
    </w:p>
    <w:p w:rsidR="00980BAA" w:rsidRPr="00980BAA" w:rsidRDefault="00980BAA" w:rsidP="00980BAA">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других показателей ОФР.</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Если существует готовая строка нужного показателя, использовать ее непосредственно.</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Например:</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61101 — Прибыль после налогообложения</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рассчитывать самостоятельно как:</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прибыль до налогообложения − налог</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если пользователь специально не попросил выполнить расчет.</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1" alt="" style="width:451.3pt;height:.05pt;mso-width-percent:0;mso-height-percent:0;mso-width-percent:0;mso-height-percent:0" o:hralign="center" o:hrstd="t" o:hr="t" fillcolor="#a0a0a0" stroked="f"/>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7. Баланс и капитал</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При необходимости использовать индивидуальные формы Банка России для получения:</w:t>
      </w:r>
    </w:p>
    <w:p w:rsidR="00980BAA" w:rsidRPr="00980BAA" w:rsidRDefault="00980BAA" w:rsidP="00980BAA">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активов;</w:t>
      </w:r>
    </w:p>
    <w:p w:rsidR="00980BAA" w:rsidRPr="00980BAA" w:rsidRDefault="00980BAA" w:rsidP="00980BAA">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обязательств;</w:t>
      </w:r>
    </w:p>
    <w:p w:rsidR="00980BAA" w:rsidRPr="00980BAA" w:rsidRDefault="00980BAA" w:rsidP="00980BAA">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собственного капитала;</w:t>
      </w:r>
    </w:p>
    <w:p w:rsidR="00980BAA" w:rsidRPr="00980BAA" w:rsidRDefault="00980BAA" w:rsidP="00980BAA">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собственных средств (капитала);</w:t>
      </w:r>
    </w:p>
    <w:p w:rsidR="00980BAA" w:rsidRPr="00980BAA" w:rsidRDefault="00980BAA" w:rsidP="00980BAA">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отдельных компонентов капитала;</w:t>
      </w:r>
    </w:p>
    <w:p w:rsidR="00980BAA" w:rsidRPr="00980BAA" w:rsidRDefault="00980BAA" w:rsidP="00980BAA">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других показателей баланса.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Критически важно различать:</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бухгалтерский собственный капитал</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регулятивные собственные средства (капитал), используемые при расчете обязательных нормативов.</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считать их автоматически одним и тем же показателем.</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lastRenderedPageBreak/>
        <w:pict>
          <v:rect id="_x0000_i1030" alt="" style="width:451.3pt;height:.05pt;mso-width-percent:0;mso-height-percent:0;mso-width-percent:0;mso-height-percent:0" o:hralign="center" o:hrstd="t" o:hr="t" fillcolor="#a0a0a0" stroked="f"/>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8. Единица наблюдения</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Каждая строка итоговой базы должна соответствовать:</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одному банку × одной отчетной дате</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Например: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625"/>
        <w:gridCol w:w="1140"/>
        <w:gridCol w:w="1352"/>
        <w:gridCol w:w="1352"/>
        <w:gridCol w:w="1352"/>
        <w:gridCol w:w="1367"/>
      </w:tblGrid>
      <w:tr w:rsidR="00980BAA" w:rsidRPr="00980BAA" w:rsidTr="00980BAA">
        <w:trPr>
          <w:tblCellSpacing w:w="15" w:type="dxa"/>
        </w:trPr>
        <w:tc>
          <w:tcPr>
            <w:tcW w:w="0" w:type="auto"/>
            <w:vAlign w:val="center"/>
            <w:hideMark/>
          </w:tcPr>
          <w:p w:rsidR="00980BAA" w:rsidRPr="00980BAA" w:rsidRDefault="00980BAA" w:rsidP="00980BAA">
            <w:pPr>
              <w:spacing w:after="0" w:line="240" w:lineRule="auto"/>
              <w:jc w:val="center"/>
              <w:rPr>
                <w:rFonts w:ascii="Times New Roman" w:eastAsia="Times New Roman" w:hAnsi="Times New Roman" w:cs="Times New Roman"/>
                <w:b/>
                <w:bCs/>
                <w:kern w:val="0"/>
                <w:lang w:eastAsia="ru-RU"/>
                <w14:ligatures w14:val="none"/>
              </w:rPr>
            </w:pPr>
            <w:r w:rsidRPr="00980BAA">
              <w:rPr>
                <w:rFonts w:ascii="Times New Roman" w:eastAsia="Times New Roman" w:hAnsi="Times New Roman" w:cs="Times New Roman"/>
                <w:b/>
                <w:bCs/>
                <w:kern w:val="0"/>
                <w:lang w:eastAsia="ru-RU"/>
                <w14:ligatures w14:val="none"/>
              </w:rPr>
              <w:t>REGN_GKO</w:t>
            </w:r>
          </w:p>
        </w:tc>
        <w:tc>
          <w:tcPr>
            <w:tcW w:w="0" w:type="auto"/>
            <w:vAlign w:val="center"/>
            <w:hideMark/>
          </w:tcPr>
          <w:p w:rsidR="00980BAA" w:rsidRPr="00980BAA" w:rsidRDefault="00980BAA" w:rsidP="00980BAA">
            <w:pPr>
              <w:spacing w:after="0" w:line="240" w:lineRule="auto"/>
              <w:jc w:val="center"/>
              <w:rPr>
                <w:rFonts w:ascii="Times New Roman" w:eastAsia="Times New Roman" w:hAnsi="Times New Roman" w:cs="Times New Roman"/>
                <w:b/>
                <w:bCs/>
                <w:kern w:val="0"/>
                <w:lang w:eastAsia="ru-RU"/>
                <w14:ligatures w14:val="none"/>
              </w:rPr>
            </w:pPr>
            <w:r w:rsidRPr="00980BAA">
              <w:rPr>
                <w:rFonts w:ascii="Times New Roman" w:eastAsia="Times New Roman" w:hAnsi="Times New Roman" w:cs="Times New Roman"/>
                <w:b/>
                <w:bCs/>
                <w:kern w:val="0"/>
                <w:lang w:eastAsia="ru-RU"/>
                <w14:ligatures w14:val="none"/>
              </w:rPr>
              <w:t>Банк</w:t>
            </w:r>
          </w:p>
        </w:tc>
        <w:tc>
          <w:tcPr>
            <w:tcW w:w="0" w:type="auto"/>
            <w:vAlign w:val="center"/>
            <w:hideMark/>
          </w:tcPr>
          <w:p w:rsidR="00980BAA" w:rsidRPr="00980BAA" w:rsidRDefault="00980BAA" w:rsidP="00980BAA">
            <w:pPr>
              <w:spacing w:after="0" w:line="240" w:lineRule="auto"/>
              <w:jc w:val="center"/>
              <w:rPr>
                <w:rFonts w:ascii="Times New Roman" w:eastAsia="Times New Roman" w:hAnsi="Times New Roman" w:cs="Times New Roman"/>
                <w:b/>
                <w:bCs/>
                <w:kern w:val="0"/>
                <w:lang w:eastAsia="ru-RU"/>
                <w14:ligatures w14:val="none"/>
              </w:rPr>
            </w:pPr>
            <w:r w:rsidRPr="00980BAA">
              <w:rPr>
                <w:rFonts w:ascii="Times New Roman" w:eastAsia="Times New Roman" w:hAnsi="Times New Roman" w:cs="Times New Roman"/>
                <w:b/>
                <w:bCs/>
                <w:kern w:val="0"/>
                <w:lang w:eastAsia="ru-RU"/>
                <w14:ligatures w14:val="none"/>
              </w:rPr>
              <w:t>Дата</w:t>
            </w:r>
          </w:p>
        </w:tc>
        <w:tc>
          <w:tcPr>
            <w:tcW w:w="0" w:type="auto"/>
            <w:vAlign w:val="center"/>
            <w:hideMark/>
          </w:tcPr>
          <w:p w:rsidR="00980BAA" w:rsidRPr="00980BAA" w:rsidRDefault="00980BAA" w:rsidP="00980BAA">
            <w:pPr>
              <w:spacing w:after="0" w:line="240" w:lineRule="auto"/>
              <w:jc w:val="center"/>
              <w:rPr>
                <w:rFonts w:ascii="Times New Roman" w:eastAsia="Times New Roman" w:hAnsi="Times New Roman" w:cs="Times New Roman"/>
                <w:b/>
                <w:bCs/>
                <w:kern w:val="0"/>
                <w:lang w:eastAsia="ru-RU"/>
                <w14:ligatures w14:val="none"/>
              </w:rPr>
            </w:pPr>
            <w:r w:rsidRPr="00980BAA">
              <w:rPr>
                <w:rFonts w:ascii="Times New Roman" w:eastAsia="Times New Roman" w:hAnsi="Times New Roman" w:cs="Times New Roman"/>
                <w:b/>
                <w:bCs/>
                <w:kern w:val="0"/>
                <w:lang w:eastAsia="ru-RU"/>
                <w14:ligatures w14:val="none"/>
              </w:rPr>
              <w:t>Н1.1</w:t>
            </w:r>
          </w:p>
        </w:tc>
        <w:tc>
          <w:tcPr>
            <w:tcW w:w="0" w:type="auto"/>
            <w:vAlign w:val="center"/>
            <w:hideMark/>
          </w:tcPr>
          <w:p w:rsidR="00980BAA" w:rsidRPr="00980BAA" w:rsidRDefault="00980BAA" w:rsidP="00980BAA">
            <w:pPr>
              <w:spacing w:after="0" w:line="240" w:lineRule="auto"/>
              <w:jc w:val="center"/>
              <w:rPr>
                <w:rFonts w:ascii="Times New Roman" w:eastAsia="Times New Roman" w:hAnsi="Times New Roman" w:cs="Times New Roman"/>
                <w:b/>
                <w:bCs/>
                <w:kern w:val="0"/>
                <w:lang w:eastAsia="ru-RU"/>
                <w14:ligatures w14:val="none"/>
              </w:rPr>
            </w:pPr>
            <w:r w:rsidRPr="00980BAA">
              <w:rPr>
                <w:rFonts w:ascii="Times New Roman" w:eastAsia="Times New Roman" w:hAnsi="Times New Roman" w:cs="Times New Roman"/>
                <w:b/>
                <w:bCs/>
                <w:kern w:val="0"/>
                <w:lang w:eastAsia="ru-RU"/>
                <w14:ligatures w14:val="none"/>
              </w:rPr>
              <w:t>Н1.2</w:t>
            </w:r>
          </w:p>
        </w:tc>
        <w:tc>
          <w:tcPr>
            <w:tcW w:w="0" w:type="auto"/>
            <w:vAlign w:val="center"/>
            <w:hideMark/>
          </w:tcPr>
          <w:p w:rsidR="00980BAA" w:rsidRPr="00980BAA" w:rsidRDefault="00980BAA" w:rsidP="00980BAA">
            <w:pPr>
              <w:spacing w:after="0" w:line="240" w:lineRule="auto"/>
              <w:jc w:val="center"/>
              <w:rPr>
                <w:rFonts w:ascii="Times New Roman" w:eastAsia="Times New Roman" w:hAnsi="Times New Roman" w:cs="Times New Roman"/>
                <w:b/>
                <w:bCs/>
                <w:kern w:val="0"/>
                <w:lang w:eastAsia="ru-RU"/>
                <w14:ligatures w14:val="none"/>
              </w:rPr>
            </w:pPr>
            <w:r w:rsidRPr="00980BAA">
              <w:rPr>
                <w:rFonts w:ascii="Times New Roman" w:eastAsia="Times New Roman" w:hAnsi="Times New Roman" w:cs="Times New Roman"/>
                <w:b/>
                <w:bCs/>
                <w:kern w:val="0"/>
                <w:lang w:eastAsia="ru-RU"/>
                <w14:ligatures w14:val="none"/>
              </w:rPr>
              <w:t>Н1.0</w:t>
            </w:r>
          </w:p>
        </w:tc>
        <w:tc>
          <w:tcPr>
            <w:tcW w:w="0" w:type="auto"/>
            <w:vAlign w:val="center"/>
            <w:hideMark/>
          </w:tcPr>
          <w:p w:rsidR="00980BAA" w:rsidRPr="00980BAA" w:rsidRDefault="00980BAA" w:rsidP="00980BAA">
            <w:pPr>
              <w:spacing w:after="0" w:line="240" w:lineRule="auto"/>
              <w:jc w:val="center"/>
              <w:rPr>
                <w:rFonts w:ascii="Times New Roman" w:eastAsia="Times New Roman" w:hAnsi="Times New Roman" w:cs="Times New Roman"/>
                <w:b/>
                <w:bCs/>
                <w:kern w:val="0"/>
                <w:lang w:eastAsia="ru-RU"/>
                <w14:ligatures w14:val="none"/>
              </w:rPr>
            </w:pPr>
            <w:r w:rsidRPr="00980BAA">
              <w:rPr>
                <w:rFonts w:ascii="Times New Roman" w:eastAsia="Times New Roman" w:hAnsi="Times New Roman" w:cs="Times New Roman"/>
                <w:b/>
                <w:bCs/>
                <w:kern w:val="0"/>
                <w:lang w:eastAsia="ru-RU"/>
                <w14:ligatures w14:val="none"/>
              </w:rPr>
              <w:t>Прибыль</w:t>
            </w:r>
          </w:p>
        </w:tc>
      </w:tr>
      <w:tr w:rsidR="00980BAA" w:rsidRPr="00980BAA" w:rsidTr="00980BAA">
        <w:trPr>
          <w:tblCellSpacing w:w="15" w:type="dxa"/>
        </w:trPr>
        <w:tc>
          <w:tcPr>
            <w:tcW w:w="0" w:type="auto"/>
            <w:vAlign w:val="center"/>
            <w:hideMark/>
          </w:tcPr>
          <w:p w:rsidR="00980BAA" w:rsidRPr="00980BAA" w:rsidRDefault="00980BAA" w:rsidP="00980BAA">
            <w:pPr>
              <w:spacing w:after="0"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3287</w:t>
            </w:r>
          </w:p>
        </w:tc>
        <w:tc>
          <w:tcPr>
            <w:tcW w:w="0" w:type="auto"/>
            <w:vAlign w:val="center"/>
            <w:hideMark/>
          </w:tcPr>
          <w:p w:rsidR="00980BAA" w:rsidRPr="00980BAA" w:rsidRDefault="00980BAA" w:rsidP="00980BAA">
            <w:pPr>
              <w:spacing w:after="0"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ВБРР</w:t>
            </w:r>
          </w:p>
        </w:tc>
        <w:tc>
          <w:tcPr>
            <w:tcW w:w="0" w:type="auto"/>
            <w:vAlign w:val="center"/>
            <w:hideMark/>
          </w:tcPr>
          <w:p w:rsidR="00980BAA" w:rsidRPr="00980BAA" w:rsidRDefault="00980BAA" w:rsidP="00980BAA">
            <w:pPr>
              <w:spacing w:after="0"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01.04.2025</w:t>
            </w:r>
          </w:p>
        </w:tc>
        <w:tc>
          <w:tcPr>
            <w:tcW w:w="0" w:type="auto"/>
            <w:vAlign w:val="center"/>
            <w:hideMark/>
          </w:tcPr>
          <w:p w:rsidR="00980BAA" w:rsidRPr="00980BAA" w:rsidRDefault="00980BAA" w:rsidP="00980BAA">
            <w:pPr>
              <w:spacing w:after="0"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значение ЦБ</w:t>
            </w:r>
          </w:p>
        </w:tc>
        <w:tc>
          <w:tcPr>
            <w:tcW w:w="0" w:type="auto"/>
            <w:vAlign w:val="center"/>
            <w:hideMark/>
          </w:tcPr>
          <w:p w:rsidR="00980BAA" w:rsidRPr="00980BAA" w:rsidRDefault="00980BAA" w:rsidP="00980BAA">
            <w:pPr>
              <w:spacing w:after="0"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значение ЦБ</w:t>
            </w:r>
          </w:p>
        </w:tc>
        <w:tc>
          <w:tcPr>
            <w:tcW w:w="0" w:type="auto"/>
            <w:vAlign w:val="center"/>
            <w:hideMark/>
          </w:tcPr>
          <w:p w:rsidR="00980BAA" w:rsidRPr="00980BAA" w:rsidRDefault="00980BAA" w:rsidP="00980BAA">
            <w:pPr>
              <w:spacing w:after="0"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значение ЦБ</w:t>
            </w:r>
          </w:p>
        </w:tc>
        <w:tc>
          <w:tcPr>
            <w:tcW w:w="0" w:type="auto"/>
            <w:vAlign w:val="center"/>
            <w:hideMark/>
          </w:tcPr>
          <w:p w:rsidR="00980BAA" w:rsidRPr="00980BAA" w:rsidRDefault="00980BAA" w:rsidP="00980BAA">
            <w:pPr>
              <w:spacing w:after="0"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значение ЦБ</w:t>
            </w:r>
          </w:p>
        </w:tc>
      </w:tr>
    </w:tbl>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29" alt="" style="width:451.3pt;height:.05pt;mso-width-percent:0;mso-height-percent:0;mso-width-percent:0;mso-height-percent:0" o:hralign="center" o:hrstd="t" o:hr="t" fillcolor="#a0a0a0" stroked="f"/>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9. Источники для одного наблюдения</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Для каждого банка:</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t>Шаг 1</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Определить:</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REGN_GKO</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t>Шаг 2</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Получить:</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Название банка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из analizbankov.</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t>Шаг 3</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По </w:t>
      </w:r>
      <w:r w:rsidRPr="00980BAA">
        <w:rPr>
          <w:rFonts w:ascii="Courier New" w:eastAsia="Times New Roman" w:hAnsi="Courier New" w:cs="Courier New"/>
          <w:kern w:val="0"/>
          <w:sz w:val="20"/>
          <w:szCs w:val="20"/>
          <w:lang w:eastAsia="ru-RU"/>
          <w14:ligatures w14:val="none"/>
        </w:rPr>
        <w:t>REGN_GKO</w:t>
      </w:r>
      <w:r w:rsidRPr="00980BAA">
        <w:rPr>
          <w:rFonts w:ascii="Times New Roman" w:eastAsia="Times New Roman" w:hAnsi="Times New Roman" w:cs="Times New Roman"/>
          <w:kern w:val="0"/>
          <w:lang w:eastAsia="ru-RU"/>
          <w14:ligatures w14:val="none"/>
        </w:rPr>
        <w:t> найти индивидуальную отчетность Банка России.</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t>Шаг 4</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Получить нормативы из формы 0409135.</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t>Шаг 5</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Получить финансовые показатели из соответствующих индивидуальных форм ЦБ.</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t>Шаг 6</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Собрать одну итоговую запись.</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pict w14:anchorId="28D4E5E0">
          <v:rect id="Horizontal Line 10"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10. Формат результата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Для каждого банка выдавать:</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REGN_GKO:</w:t>
      </w:r>
      <w:r w:rsidRPr="00980BAA">
        <w:rPr>
          <w:rFonts w:ascii="Times New Roman" w:eastAsia="Times New Roman" w:hAnsi="Times New Roman" w:cs="Times New Roman"/>
          <w:kern w:val="0"/>
          <w:lang w:eastAsia="ru-RU"/>
          <w14:ligatures w14:val="none"/>
        </w:rPr>
        <w:br/>
      </w:r>
      <w:r w:rsidRPr="00980BAA">
        <w:rPr>
          <w:rFonts w:ascii="Times New Roman" w:eastAsia="Times New Roman" w:hAnsi="Times New Roman" w:cs="Times New Roman"/>
          <w:b/>
          <w:bCs/>
          <w:kern w:val="0"/>
          <w:lang w:eastAsia="ru-RU"/>
          <w14:ligatures w14:val="none"/>
        </w:rPr>
        <w:t>Банк:</w:t>
      </w:r>
      <w:r w:rsidRPr="00980BAA">
        <w:rPr>
          <w:rFonts w:ascii="Times New Roman" w:eastAsia="Times New Roman" w:hAnsi="Times New Roman" w:cs="Times New Roman"/>
          <w:kern w:val="0"/>
          <w:lang w:eastAsia="ru-RU"/>
          <w14:ligatures w14:val="none"/>
        </w:rPr>
        <w:br/>
      </w:r>
      <w:r w:rsidRPr="00980BAA">
        <w:rPr>
          <w:rFonts w:ascii="Times New Roman" w:eastAsia="Times New Roman" w:hAnsi="Times New Roman" w:cs="Times New Roman"/>
          <w:b/>
          <w:bCs/>
          <w:kern w:val="0"/>
          <w:lang w:eastAsia="ru-RU"/>
          <w14:ligatures w14:val="none"/>
        </w:rPr>
        <w:t>Дата: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Нормативы:</w:t>
      </w:r>
    </w:p>
    <w:p w:rsidR="00980BAA" w:rsidRPr="00980BAA" w:rsidRDefault="00980BAA" w:rsidP="00980BAA">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Н1.1:</w:t>
      </w:r>
    </w:p>
    <w:p w:rsidR="00980BAA" w:rsidRPr="00980BAA" w:rsidRDefault="00980BAA" w:rsidP="00980BAA">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Н1.2:</w:t>
      </w:r>
    </w:p>
    <w:p w:rsidR="00980BAA" w:rsidRPr="00980BAA" w:rsidRDefault="00980BAA" w:rsidP="00980BAA">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Н1.0:</w:t>
      </w:r>
    </w:p>
    <w:p w:rsidR="00980BAA" w:rsidRPr="00980BAA" w:rsidRDefault="00980BAA" w:rsidP="00980BAA">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Н1.4:</w:t>
      </w:r>
    </w:p>
    <w:p w:rsidR="00980BAA" w:rsidRPr="00980BAA" w:rsidRDefault="00980BAA" w:rsidP="00980BAA">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другие запрошенные нормативы:</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Финансовые показатели:</w:t>
      </w:r>
    </w:p>
    <w:p w:rsidR="00980BAA" w:rsidRPr="00980BAA" w:rsidRDefault="00980BAA" w:rsidP="00980BAA">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собственные средства / капитал:</w:t>
      </w:r>
    </w:p>
    <w:p w:rsidR="00980BAA" w:rsidRPr="00980BAA" w:rsidRDefault="00980BAA" w:rsidP="00980BAA">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активы:</w:t>
      </w:r>
    </w:p>
    <w:p w:rsidR="00980BAA" w:rsidRPr="00980BAA" w:rsidRDefault="00980BAA" w:rsidP="00980BAA">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прибыль после налогообложения:</w:t>
      </w:r>
    </w:p>
    <w:p w:rsidR="00980BAA" w:rsidRPr="00980BAA" w:rsidRDefault="00980BAA" w:rsidP="00980BAA">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другие запрошенные показатели:</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Для каждого показателя сохранять:</w:t>
      </w:r>
    </w:p>
    <w:p w:rsidR="00980BAA" w:rsidRPr="00980BAA" w:rsidRDefault="00980BAA" w:rsidP="00980BAA">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значение;</w:t>
      </w:r>
    </w:p>
    <w:p w:rsidR="00980BAA" w:rsidRPr="00980BAA" w:rsidRDefault="00980BAA" w:rsidP="00980BAA">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единицу измерения;</w:t>
      </w:r>
    </w:p>
    <w:p w:rsidR="00980BAA" w:rsidRPr="00980BAA" w:rsidRDefault="00980BAA" w:rsidP="00980BAA">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дату;</w:t>
      </w:r>
    </w:p>
    <w:p w:rsidR="00980BAA" w:rsidRPr="00980BAA" w:rsidRDefault="00980BAA" w:rsidP="00980BAA">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форму Банка России;</w:t>
      </w:r>
    </w:p>
    <w:p w:rsidR="00980BAA" w:rsidRPr="00980BAA" w:rsidRDefault="00980BAA" w:rsidP="00980BAA">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номер строки / код показателя;</w:t>
      </w:r>
    </w:p>
    <w:p w:rsidR="00980BAA" w:rsidRPr="00980BAA" w:rsidRDefault="00980BAA" w:rsidP="00980BAA">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источник.</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pict w14:anchorId="00E1E85E">
          <v:rect id="Horizontal Line 11"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11. Приоритет источников</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При конфликте источников:</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t>Для названия:</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analizbankov.ru</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t>Для числовых данных:</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Банк России</w:t>
      </w:r>
    </w:p>
    <w:p w:rsidR="00980BAA" w:rsidRPr="00980BAA" w:rsidRDefault="00980BAA" w:rsidP="00980BAA">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980BAA">
        <w:rPr>
          <w:rFonts w:ascii="Times New Roman" w:eastAsia="Times New Roman" w:hAnsi="Times New Roman" w:cs="Times New Roman"/>
          <w:b/>
          <w:bCs/>
          <w:kern w:val="0"/>
          <w:sz w:val="27"/>
          <w:szCs w:val="27"/>
          <w:lang w:eastAsia="ru-RU"/>
          <w14:ligatures w14:val="none"/>
        </w:rPr>
        <w:lastRenderedPageBreak/>
        <w:t>Для нормативов:</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Банк России, форма 0409135 и соответствующие официальные формы.</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усреднять, не объединять и не выбирать произвольно значения разных источников.</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pict w14:anchorId="547F872E">
          <v:rect id="Horizontal Line 12"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12. Контроль качества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Перед выдачей данных проверять:</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Совпадает ли </w:t>
      </w:r>
      <w:r w:rsidRPr="00980BAA">
        <w:rPr>
          <w:rFonts w:ascii="Courier New" w:eastAsia="Times New Roman" w:hAnsi="Courier New" w:cs="Courier New"/>
          <w:kern w:val="0"/>
          <w:sz w:val="20"/>
          <w:szCs w:val="20"/>
          <w:lang w:eastAsia="ru-RU"/>
          <w14:ligatures w14:val="none"/>
        </w:rPr>
        <w:t>REGN_GKO</w:t>
      </w:r>
      <w:r w:rsidRPr="00980BAA">
        <w:rPr>
          <w:rFonts w:ascii="Times New Roman" w:eastAsia="Times New Roman" w:hAnsi="Times New Roman" w:cs="Times New Roman"/>
          <w:kern w:val="0"/>
          <w:lang w:eastAsia="ru-RU"/>
          <w14:ligatures w14:val="none"/>
        </w:rPr>
        <w:t> с регистрационным номером банка.</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Соответствует ли название банка этому </w:t>
      </w:r>
      <w:r w:rsidRPr="00980BAA">
        <w:rPr>
          <w:rFonts w:ascii="Courier New" w:eastAsia="Times New Roman" w:hAnsi="Courier New" w:cs="Courier New"/>
          <w:kern w:val="0"/>
          <w:sz w:val="20"/>
          <w:szCs w:val="20"/>
          <w:lang w:eastAsia="ru-RU"/>
          <w14:ligatures w14:val="none"/>
        </w:rPr>
        <w:t>REGN_GKO</w:t>
      </w:r>
      <w:r w:rsidRPr="00980BAA">
        <w:rPr>
          <w:rFonts w:ascii="Times New Roman" w:eastAsia="Times New Roman" w:hAnsi="Times New Roman" w:cs="Times New Roman"/>
          <w:kern w:val="0"/>
          <w:lang w:eastAsia="ru-RU"/>
          <w14:ligatures w14:val="none"/>
        </w:rPr>
        <w:t>.</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Является ли показатель индивидуальным.</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является ли показатель показателем банковской группы.</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Соответствует ли дата показателя выбранной отчетной дате.</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Правильно ли указана единица измерения.</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продублирован ли один банк.</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попал ли в выборку один и тот же банк под разными идентификаторами.</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заменен ли Н1.1 на Н20.1.</w:t>
      </w:r>
    </w:p>
    <w:p w:rsidR="00980BAA" w:rsidRPr="00980BAA" w:rsidRDefault="00980BAA" w:rsidP="00980BAA">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Не смешана ли индивидуальная отчетность с консолидированной.</w:t>
      </w:r>
    </w:p>
    <w:p w:rsidR="00980BAA" w:rsidRPr="00980BAA" w:rsidRDefault="00CC47FE" w:rsidP="00980BAA">
      <w:pPr>
        <w:spacing w:after="0" w:line="240" w:lineRule="auto"/>
        <w:rPr>
          <w:rFonts w:ascii="Times New Roman" w:eastAsia="Times New Roman" w:hAnsi="Times New Roman" w:cs="Times New Roman"/>
          <w:kern w:val="0"/>
          <w:lang w:eastAsia="ru-RU"/>
          <w14:ligatures w14:val="none"/>
        </w:rPr>
      </w:pPr>
      <w:r>
        <w:pict w14:anchorId="13EBAC31">
          <v:rect id="Horizontal Line 13"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80BAA" w:rsidRPr="00980BAA" w:rsidRDefault="00980BAA" w:rsidP="0098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980BAA">
        <w:rPr>
          <w:rFonts w:ascii="Times New Roman" w:eastAsia="Times New Roman" w:hAnsi="Times New Roman" w:cs="Times New Roman"/>
          <w:b/>
          <w:bCs/>
          <w:kern w:val="36"/>
          <w:sz w:val="48"/>
          <w:szCs w:val="48"/>
          <w:lang w:eastAsia="ru-RU"/>
          <w14:ligatures w14:val="none"/>
        </w:rPr>
        <w:t>13. Основной принцип исследования</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Цель:</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финансовая устойчивость банковского сектора РФ на уровне отдельных банков.</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Поэтому:</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банк = отдельная кредитная организация</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а не банковская группа.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Основная статистическая единица:</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Courier New" w:eastAsia="Times New Roman" w:hAnsi="Courier New" w:cs="Courier New"/>
          <w:kern w:val="0"/>
          <w:sz w:val="20"/>
          <w:szCs w:val="20"/>
          <w:lang w:eastAsia="ru-RU"/>
          <w14:ligatures w14:val="none"/>
        </w:rPr>
        <w:t>REGN_GKO × отчетная дата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Основные источники:</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Банк России — значения показателей</w:t>
      </w:r>
    </w:p>
    <w:p w:rsidR="00980BAA" w:rsidRPr="00980BAA" w:rsidRDefault="00980BAA" w:rsidP="00980BAA">
      <w:pPr>
        <w:spacing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b/>
          <w:bCs/>
          <w:kern w:val="0"/>
          <w:lang w:eastAsia="ru-RU"/>
          <w14:ligatures w14:val="none"/>
        </w:rPr>
        <w:t>analizbankov — только название банка</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Групповые нормативы Н20.x не включать в основную выборку.</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lastRenderedPageBreak/>
        <w:t>Приоритетный источник:</w:t>
      </w:r>
    </w:p>
    <w:p w:rsidR="00980BAA" w:rsidRPr="00980BAA"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980BAA">
        <w:rPr>
          <w:rFonts w:ascii="Times New Roman" w:eastAsia="Times New Roman" w:hAnsi="Times New Roman" w:cs="Times New Roman"/>
          <w:kern w:val="0"/>
          <w:lang w:eastAsia="ru-RU"/>
          <w14:ligatures w14:val="none"/>
        </w:rPr>
        <w:t>https://www.cbr.ru/banking_sector/otchetnost-kreditnykh-organizaciy</w:t>
      </w:r>
    </w:p>
    <w:p w:rsidR="00980BAA" w:rsidRPr="004141B0" w:rsidRDefault="00980BAA" w:rsidP="005F44E2">
      <w:pPr>
        <w:pStyle w:val="ac"/>
        <w:rPr>
          <w:color w:val="000000"/>
        </w:rPr>
      </w:pPr>
      <w:r w:rsidRPr="00980BAA">
        <w:t>Выгрузи в эксель файл базу данных</w:t>
      </w:r>
      <w:r w:rsidR="00905BB3">
        <w:rPr>
          <w:lang w:val="ru-RU"/>
        </w:rPr>
        <w:t>.</w:t>
      </w:r>
      <w:r>
        <w:rPr>
          <w:lang w:val="ru-RU"/>
        </w:rPr>
        <w:br/>
      </w:r>
      <w:r>
        <w:rPr>
          <w:lang w:val="ru-RU"/>
        </w:rPr>
        <w:br/>
      </w:r>
      <w:r w:rsidRPr="004141B0">
        <w:rPr>
          <w:rStyle w:val="ad"/>
          <w:color w:val="000000"/>
        </w:rPr>
        <w:t>Формат исходных данных:</w:t>
      </w:r>
      <w:r w:rsidRPr="004141B0">
        <w:rPr>
          <w:rStyle w:val="apple-converted-space"/>
          <w:color w:val="000000"/>
        </w:rPr>
        <w:t> </w:t>
      </w:r>
      <w:r w:rsidRPr="004141B0">
        <w:rPr>
          <w:color w:val="000000"/>
        </w:rPr>
        <w:t>панельная таблица long format. Одна строка соответствует одному банку в одном году. Все банки и годы находятся в одной таблице. Обязательные идентификаторы:</w:t>
      </w:r>
      <w:r w:rsidRPr="004141B0">
        <w:rPr>
          <w:rStyle w:val="apple-converted-space"/>
          <w:color w:val="000000"/>
        </w:rPr>
        <w:t> </w:t>
      </w:r>
      <w:r w:rsidRPr="004141B0">
        <w:rPr>
          <w:rStyle w:val="HTML"/>
          <w:rFonts w:ascii="Times New Roman" w:eastAsiaTheme="majorEastAsia" w:hAnsi="Times New Roman" w:cs="Times New Roman"/>
          <w:color w:val="000000"/>
          <w:sz w:val="24"/>
          <w:szCs w:val="24"/>
        </w:rPr>
        <w:t>year</w:t>
      </w:r>
      <w:r w:rsidRPr="004141B0">
        <w:rPr>
          <w:rStyle w:val="apple-converted-space"/>
          <w:color w:val="000000"/>
        </w:rPr>
        <w:t> </w:t>
      </w:r>
      <w:r w:rsidRPr="004141B0">
        <w:rPr>
          <w:color w:val="000000"/>
        </w:rPr>
        <w:t xml:space="preserve">и </w:t>
      </w:r>
      <w:r w:rsidRPr="004141B0">
        <w:rPr>
          <w:color w:val="000000"/>
          <w:lang w:val="ru-RU"/>
        </w:rPr>
        <w:t>название банка</w:t>
      </w:r>
      <w:r w:rsidRPr="004141B0">
        <w:rPr>
          <w:color w:val="000000"/>
        </w:rPr>
        <w:t xml:space="preserve">. За 15 лет будет примерно 4 500 наблюдений (15 × ~300 банков), но количество банков может различаться по годам, поэтому панель является unbalanced panel. </w:t>
      </w:r>
      <w:r w:rsidRPr="004141B0">
        <w:rPr>
          <w:color w:val="000000"/>
          <w:lang w:val="ru-RU"/>
        </w:rPr>
        <w:t>Период наблюдения 20</w:t>
      </w:r>
      <w:r w:rsidR="0035774E" w:rsidRPr="004141B0">
        <w:rPr>
          <w:color w:val="000000"/>
          <w:lang w:val="ru-RU"/>
        </w:rPr>
        <w:t>0</w:t>
      </w:r>
      <w:r w:rsidR="00165756" w:rsidRPr="004141B0">
        <w:rPr>
          <w:color w:val="000000"/>
          <w:lang w:val="ru-RU"/>
        </w:rPr>
        <w:t>7</w:t>
      </w:r>
      <w:r w:rsidR="0035774E" w:rsidRPr="004141B0">
        <w:rPr>
          <w:color w:val="000000"/>
          <w:lang w:val="ru-RU"/>
        </w:rPr>
        <w:t>-202</w:t>
      </w:r>
      <w:r w:rsidR="00165756" w:rsidRPr="004141B0">
        <w:rPr>
          <w:color w:val="000000"/>
          <w:lang w:val="ru-RU"/>
        </w:rPr>
        <w:t>1</w:t>
      </w:r>
      <w:r w:rsidR="0035774E" w:rsidRPr="004141B0">
        <w:rPr>
          <w:color w:val="000000"/>
          <w:lang w:val="ru-RU"/>
        </w:rPr>
        <w:t xml:space="preserve">. </w:t>
      </w:r>
      <w:r w:rsidRPr="004141B0">
        <w:rPr>
          <w:color w:val="000000"/>
        </w:rPr>
        <w:t>Для каждого банка в соответствующем году находятся примерно 10 индивидуальных показателей</w:t>
      </w:r>
      <w:r w:rsidR="00165756" w:rsidRPr="004141B0">
        <w:rPr>
          <w:color w:val="000000"/>
          <w:lang w:val="ru-RU"/>
        </w:rPr>
        <w:t xml:space="preserve">, а именно: Уставный капитал, нераспределенная прибыль прошлых лет, добавочный капитал, </w:t>
      </w:r>
      <w:r w:rsidR="00165756" w:rsidRPr="004141B0">
        <w:rPr>
          <w:rFonts w:eastAsiaTheme="majorEastAsia"/>
        </w:rPr>
        <w:t>Бессрочные долговые инструменты</w:t>
      </w:r>
      <w:r w:rsidR="00165756" w:rsidRPr="004141B0">
        <w:rPr>
          <w:lang w:val="ru-RU"/>
        </w:rPr>
        <w:t xml:space="preserve">, </w:t>
      </w:r>
      <w:r w:rsidR="00165756" w:rsidRPr="004141B0">
        <w:rPr>
          <w:rFonts w:eastAsiaTheme="majorEastAsia"/>
        </w:rPr>
        <w:t>Бессрочные облигации</w:t>
      </w:r>
      <w:r w:rsidR="00165756" w:rsidRPr="004141B0">
        <w:rPr>
          <w:lang w:val="ru-RU"/>
        </w:rPr>
        <w:t xml:space="preserve">, </w:t>
      </w:r>
      <w:r w:rsidR="00165756" w:rsidRPr="004141B0">
        <w:rPr>
          <w:rFonts w:eastAsiaTheme="majorEastAsia"/>
        </w:rPr>
        <w:t>Конвертируемые облигации</w:t>
      </w:r>
      <w:r w:rsidR="00165756" w:rsidRPr="004141B0">
        <w:rPr>
          <w:lang w:val="ru-RU"/>
        </w:rPr>
        <w:t xml:space="preserve">, </w:t>
      </w:r>
      <w:r w:rsidR="00165756" w:rsidRPr="004141B0">
        <w:rPr>
          <w:rFonts w:eastAsiaTheme="majorEastAsia"/>
        </w:rPr>
        <w:t>Субординированные долговые обязательства</w:t>
      </w:r>
      <w:r w:rsidR="00165756" w:rsidRPr="004141B0">
        <w:rPr>
          <w:lang w:val="ru-RU"/>
        </w:rPr>
        <w:t xml:space="preserve">, </w:t>
      </w:r>
      <w:r w:rsidR="00165756" w:rsidRPr="004141B0">
        <w:rPr>
          <w:rFonts w:eastAsiaTheme="majorEastAsia"/>
        </w:rPr>
        <w:t>Субординированные обязательства</w:t>
      </w:r>
      <w:r w:rsidR="00165756" w:rsidRPr="004141B0">
        <w:rPr>
          <w:lang w:val="ru-RU"/>
        </w:rPr>
        <w:t xml:space="preserve">, внеоборотные активы, оборотные активы, краткосрочные обязательства, долгосрочные обязательства, итог баланса, </w:t>
      </w:r>
      <w:r w:rsidR="005F44E2" w:rsidRPr="004141B0">
        <w:rPr>
          <w:lang w:val="ru-RU"/>
        </w:rPr>
        <w:t xml:space="preserve">капитал, </w:t>
      </w:r>
      <w:r w:rsidR="005F44E2" w:rsidRPr="004141B0">
        <w:rPr>
          <w:color w:val="000000"/>
        </w:rPr>
        <w:t>Денежные средства</w:t>
      </w:r>
      <w:r w:rsidR="005F44E2" w:rsidRPr="004141B0">
        <w:rPr>
          <w:color w:val="000000"/>
          <w:lang w:val="ru-RU"/>
        </w:rPr>
        <w:t xml:space="preserve">, </w:t>
      </w:r>
      <w:r w:rsidR="005F44E2" w:rsidRPr="004141B0">
        <w:rPr>
          <w:color w:val="000000"/>
        </w:rPr>
        <w:t>Средства на счетах в Центральном банке</w:t>
      </w:r>
      <w:r w:rsidR="005F44E2" w:rsidRPr="004141B0">
        <w:rPr>
          <w:color w:val="000000"/>
          <w:lang w:val="ru-RU"/>
        </w:rPr>
        <w:t xml:space="preserve">, </w:t>
      </w:r>
      <w:r w:rsidR="005F44E2" w:rsidRPr="004141B0">
        <w:rPr>
          <w:color w:val="000000"/>
        </w:rPr>
        <w:t>средства, размещенные в других банках</w:t>
      </w:r>
      <w:r w:rsidR="005F44E2" w:rsidRPr="004141B0">
        <w:rPr>
          <w:color w:val="000000"/>
          <w:lang w:val="ru-RU"/>
        </w:rPr>
        <w:t xml:space="preserve">, </w:t>
      </w:r>
      <w:r w:rsidR="005F44E2" w:rsidRPr="004141B0">
        <w:rPr>
          <w:color w:val="000000"/>
        </w:rPr>
        <w:t>Ликвидные ценные бумаги</w:t>
      </w:r>
      <w:r w:rsidR="005F44E2" w:rsidRPr="004141B0">
        <w:rPr>
          <w:color w:val="000000"/>
          <w:lang w:val="ru-RU"/>
        </w:rPr>
        <w:t xml:space="preserve">, </w:t>
      </w:r>
      <w:r w:rsidR="005F44E2" w:rsidRPr="004141B0">
        <w:rPr>
          <w:color w:val="000000"/>
        </w:rPr>
        <w:t>кредитный портфель</w:t>
      </w:r>
      <w:r w:rsidR="005F44E2" w:rsidRPr="004141B0">
        <w:rPr>
          <w:color w:val="000000"/>
          <w:lang w:val="ru-RU"/>
        </w:rPr>
        <w:t xml:space="preserve">, </w:t>
      </w:r>
      <w:r w:rsidR="005F44E2" w:rsidRPr="004141B0">
        <w:rPr>
          <w:color w:val="000000"/>
        </w:rPr>
        <w:t>кредиты физическим лицам</w:t>
      </w:r>
      <w:r w:rsidR="005F44E2" w:rsidRPr="004141B0">
        <w:rPr>
          <w:color w:val="000000"/>
          <w:lang w:val="ru-RU"/>
        </w:rPr>
        <w:t xml:space="preserve">, </w:t>
      </w:r>
      <w:r w:rsidR="005F44E2" w:rsidRPr="004141B0">
        <w:rPr>
          <w:color w:val="000000"/>
        </w:rPr>
        <w:t>кредиты юридическим лицам</w:t>
      </w:r>
      <w:r w:rsidR="005F44E2" w:rsidRPr="004141B0">
        <w:rPr>
          <w:color w:val="000000"/>
          <w:lang w:val="ru-RU"/>
        </w:rPr>
        <w:t xml:space="preserve">, </w:t>
      </w:r>
      <w:r w:rsidR="005F44E2" w:rsidRPr="004141B0">
        <w:rPr>
          <w:color w:val="000000"/>
        </w:rPr>
        <w:t>ценные бумаги</w:t>
      </w:r>
      <w:r w:rsidR="005F44E2" w:rsidRPr="004141B0">
        <w:rPr>
          <w:color w:val="000000"/>
          <w:lang w:val="ru-RU"/>
        </w:rPr>
        <w:t xml:space="preserve">, </w:t>
      </w:r>
      <w:r w:rsidR="005F44E2" w:rsidRPr="004141B0">
        <w:rPr>
          <w:color w:val="000000"/>
        </w:rPr>
        <w:t>депозиты</w:t>
      </w:r>
      <w:r w:rsidR="005F44E2" w:rsidRPr="004141B0">
        <w:rPr>
          <w:color w:val="000000"/>
          <w:lang w:val="ru-RU"/>
        </w:rPr>
        <w:t xml:space="preserve">, резервы, </w:t>
      </w:r>
      <w:r w:rsidR="005F44E2" w:rsidRPr="004141B0">
        <w:rPr>
          <w:color w:val="000000"/>
        </w:rPr>
        <w:t xml:space="preserve">Процентные доходы, всего, от размещения средств в кредитных организациях, от ссуд, предоставленных клиентам, не являющимся кредитными организациями, от вложений в ценные бумаги и иные финансовые активы, процентные расходы, всего, по привлеченным средствам кредитных организаций, по привлеченным средствам клиентов, не являющихся кредитными организациями, по выпущенным ценным бумагам и иным финансовым активам, чистые процентные доходы (отрицательная процентная маржа), чистые доходы от операций с финансовыми активами, оцениваемыми по справедливой стоимости через прибыль или убыток, чистые доходы от операций с финансовыми активами, оцениваемыми по амортизированной стоимости, чистые доходы от операций с финансовыми активами, оцениваемыми по справедливой стоимости через прочий совокупный доход, чистые доходы от операций с финансовыми обязательствами, оцениваемыми по справедливой стоимости через прибыль или убыток, чистые доходы от операций с драгоценными металлами, чистые доходы от операций с иностранной валютой, чистые доходы от переоценки иностранной валюты, доходы от участия в капитале других юридических лиц, комиссионные доходы, комиссионные расходы, чистые доходы (расходы), изменение резерва по возможным потерям и оценочного резерва под ожидаемые кредитные убытки по ссудам, ссудной и приравненной к ней задолженности, средствам, размещенным на корреспондентских счетах, а также начисленным процентным доходам, всего, изменение резерва по прочим потерям, изменение резерва на возможные потери и оценочного резерва под ожидаемые кредитные убытки по ценным бумагам, оцениваемым по справедливой стоимости через прочий совокупный доход, изменение резерва на возможные потери и оценочного резерва под ожидаемые кредитные убытки по ценным бумагам, оцениваемым по амортизированной стоимости, операционные расходы, прочие операционные доходы, прибыль (убыток) до налогообложения, возмещение (расход) по налогу на прибыль, прибыль (убыток) от продолжающейся деятельности, прибыль (убыток) от прекращенной деятельности, прибыль (убыток) за отчетный период, прибыль (убыток) за отчетный период, прочий совокупный доход (убыток), статьи, которые не переклассифицируются в прибыль или убыток, всего, изменение фонда переоценки основных средств и нематериальных активов, изменение фонда </w:t>
      </w:r>
      <w:r w:rsidR="005F44E2" w:rsidRPr="004141B0">
        <w:rPr>
          <w:color w:val="000000"/>
        </w:rPr>
        <w:lastRenderedPageBreak/>
        <w:t>переоценки обязательств (требований) по пенсионному обеспечению работников по программам с установленными выплатами, статьи, которые могут быть переклассифицированы в прибыль или убыток, всего, изменение фонда переоценки финансовых активов, оцениваемых по справедливой стоимости через прочий совокупный доход, изменение фонда переоценки финансовых обязательств, оцениваемых по справедливой стоимости через прибыль или убыток, изменение фонда хеджирования денежных потоков, налог на прибыль, относящийся к статьям, которые не могут быть переклассифицированы в прибыль или убыток, налог на прибыль, относящийся к статьям, которые могут быть переклассифицированы в прибыль или убыток, прочий совокупный доход (убыток), который не может быть переклассифицирован в прибыль или убыток, за вычетом налога на прибыль, прочий совокупный доход (убыток), который может быть переклассифицирован в прибыль или убыток, за вычетом налога на прибыль, прочий совокупный доход (убыток) за вычетом налога на прибыль, финансовый результат за отчетный период</w:t>
      </w:r>
      <w:r w:rsidR="008707CA" w:rsidRPr="004141B0">
        <w:rPr>
          <w:color w:val="000000"/>
          <w:lang w:val="ru-RU"/>
        </w:rPr>
        <w:t xml:space="preserve">, </w:t>
      </w:r>
      <w:r w:rsidR="008707CA" w:rsidRPr="004141B0">
        <w:rPr>
          <w:color w:val="000000"/>
        </w:rPr>
        <w:t>просроченная ссудная задолженность</w:t>
      </w:r>
      <w:r w:rsidR="004141B0">
        <w:rPr>
          <w:color w:val="000000"/>
          <w:lang w:val="ru-RU"/>
        </w:rPr>
        <w:t>, все нормативы Банка России с кодом Н, которые применимы к индивидуальным банкам</w:t>
      </w:r>
      <w:r w:rsidR="00BB137B">
        <w:rPr>
          <w:color w:val="000000"/>
          <w:lang w:val="ru-RU"/>
        </w:rPr>
        <w:t xml:space="preserve">, высоколиквидные активы, негосударственные ценные бумаги, оборот по корреспондентским счетам, </w:t>
      </w:r>
      <w:r w:rsidR="004F1577">
        <w:rPr>
          <w:color w:val="000000"/>
          <w:lang w:val="ru-RU"/>
        </w:rPr>
        <w:t xml:space="preserve">депозиты физических лиц, депозиты юридических лиц, депозиты физических лиц до 30 дней, долговые обязательства государственные и местного самоуправления, расходы на содержание аппарата, обязательные резервы ЦБ. Если где-то в названии показателя я ошибся - поправь, приоритетной считать терминологию Банка России. </w:t>
      </w:r>
      <w:r w:rsidR="00A363F3">
        <w:rPr>
          <w:color w:val="000000"/>
          <w:lang w:val="ru-RU"/>
        </w:rPr>
        <w:t xml:space="preserve">Все что я написал в этом запросе должно быть исполнено – это минимум, если ты посчитаешь что список показателей можно дополнить какими-либо из того же источника (Банк России) для качественного эконометрического исследования и модели раннего прогнозирования банкротства – сделай это и дай мне знать, что именно ты добавил (если). </w:t>
      </w:r>
      <w:r w:rsidRPr="004141B0">
        <w:rPr>
          <w:color w:val="000000"/>
        </w:rPr>
        <w:t>Отдельные таблицы/листы для каждого года не использовать. Формат должен сохраняться при экспорте из Excel в CSV: одна строка = bank-year observation, один столбец = одна переменная</w:t>
      </w:r>
    </w:p>
    <w:p w:rsidR="00980BAA" w:rsidRPr="004141B0" w:rsidRDefault="00980BAA" w:rsidP="00980BAA">
      <w:pPr>
        <w:spacing w:before="100" w:beforeAutospacing="1" w:after="100" w:afterAutospacing="1" w:line="240" w:lineRule="auto"/>
        <w:rPr>
          <w:rFonts w:ascii="Times New Roman" w:eastAsia="Times New Roman" w:hAnsi="Times New Roman" w:cs="Times New Roman"/>
          <w:kern w:val="0"/>
          <w:lang w:eastAsia="ru-RU"/>
          <w14:ligatures w14:val="none"/>
        </w:rPr>
      </w:pPr>
      <w:r w:rsidRPr="004141B0">
        <w:rPr>
          <w:rFonts w:ascii="Times New Roman" w:eastAsia="Times New Roman" w:hAnsi="Times New Roman" w:cs="Times New Roman"/>
          <w:kern w:val="0"/>
          <w:lang w:eastAsia="ru-RU"/>
          <w14:ligatures w14:val="none"/>
        </w:rPr>
        <w:t>Предусмотри возможность с твоей помощь</w:t>
      </w:r>
      <w:r w:rsidR="004F1577">
        <w:rPr>
          <w:rFonts w:ascii="Times New Roman" w:eastAsia="Times New Roman" w:hAnsi="Times New Roman" w:cs="Times New Roman"/>
          <w:kern w:val="0"/>
          <w:lang w:val="ru-RU" w:eastAsia="ru-RU"/>
          <w14:ligatures w14:val="none"/>
        </w:rPr>
        <w:t>ю</w:t>
      </w:r>
      <w:r w:rsidRPr="004141B0">
        <w:rPr>
          <w:rFonts w:ascii="Times New Roman" w:eastAsia="Times New Roman" w:hAnsi="Times New Roman" w:cs="Times New Roman"/>
          <w:kern w:val="0"/>
          <w:lang w:eastAsia="ru-RU"/>
          <w14:ligatures w14:val="none"/>
        </w:rPr>
        <w:t xml:space="preserve"> добавить таблицу дополнительные строки и конвертировать файл в формат csv для построения регрессий в программе Gretl.</w:t>
      </w:r>
    </w:p>
    <w:p w:rsidR="009E1AED" w:rsidRPr="00980BAA" w:rsidRDefault="009E1AED">
      <w:pPr>
        <w:rPr>
          <w:lang w:val="ru-RU"/>
        </w:rPr>
      </w:pPr>
    </w:p>
    <w:sectPr w:rsidR="009E1AED" w:rsidRPr="00980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E74"/>
    <w:multiLevelType w:val="multilevel"/>
    <w:tmpl w:val="A0DC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74FD2"/>
    <w:multiLevelType w:val="multilevel"/>
    <w:tmpl w:val="E46E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45D8A"/>
    <w:multiLevelType w:val="multilevel"/>
    <w:tmpl w:val="A900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75D81"/>
    <w:multiLevelType w:val="multilevel"/>
    <w:tmpl w:val="E9D6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65C9B"/>
    <w:multiLevelType w:val="multilevel"/>
    <w:tmpl w:val="EB6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B1FB3"/>
    <w:multiLevelType w:val="multilevel"/>
    <w:tmpl w:val="9FB2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A0D07"/>
    <w:multiLevelType w:val="multilevel"/>
    <w:tmpl w:val="DFE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C58AE"/>
    <w:multiLevelType w:val="multilevel"/>
    <w:tmpl w:val="C65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63FF6"/>
    <w:multiLevelType w:val="multilevel"/>
    <w:tmpl w:val="13B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C0312"/>
    <w:multiLevelType w:val="multilevel"/>
    <w:tmpl w:val="DA02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111928">
    <w:abstractNumId w:val="1"/>
  </w:num>
  <w:num w:numId="2" w16cid:durableId="1530022197">
    <w:abstractNumId w:val="9"/>
  </w:num>
  <w:num w:numId="3" w16cid:durableId="469131375">
    <w:abstractNumId w:val="2"/>
  </w:num>
  <w:num w:numId="4" w16cid:durableId="1613824868">
    <w:abstractNumId w:val="4"/>
  </w:num>
  <w:num w:numId="5" w16cid:durableId="712659162">
    <w:abstractNumId w:val="8"/>
  </w:num>
  <w:num w:numId="6" w16cid:durableId="1244803418">
    <w:abstractNumId w:val="3"/>
  </w:num>
  <w:num w:numId="7" w16cid:durableId="1314917985">
    <w:abstractNumId w:val="6"/>
  </w:num>
  <w:num w:numId="8" w16cid:durableId="1553227831">
    <w:abstractNumId w:val="5"/>
  </w:num>
  <w:num w:numId="9" w16cid:durableId="644161712">
    <w:abstractNumId w:val="7"/>
  </w:num>
  <w:num w:numId="10" w16cid:durableId="185626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AA"/>
    <w:rsid w:val="00165756"/>
    <w:rsid w:val="0035774E"/>
    <w:rsid w:val="004141B0"/>
    <w:rsid w:val="004F1577"/>
    <w:rsid w:val="00561FB3"/>
    <w:rsid w:val="005F44E2"/>
    <w:rsid w:val="008707CA"/>
    <w:rsid w:val="00905BB3"/>
    <w:rsid w:val="00960886"/>
    <w:rsid w:val="00980BAA"/>
    <w:rsid w:val="00990221"/>
    <w:rsid w:val="009E1AED"/>
    <w:rsid w:val="00A363F3"/>
    <w:rsid w:val="00B103D7"/>
    <w:rsid w:val="00B675DB"/>
    <w:rsid w:val="00BB137B"/>
    <w:rsid w:val="00CC47FE"/>
    <w:rsid w:val="00D874D4"/>
    <w:rsid w:val="00F53032"/>
  </w:rsids>
  <m:mathPr>
    <m:mathFont m:val="Cambria Math"/>
    <m:brkBin m:val="before"/>
    <m:brkBinSub m:val="--"/>
    <m:smallFrac m:val="0"/>
    <m:dispDef/>
    <m:lMargin m:val="0"/>
    <m:rMargin m:val="0"/>
    <m:defJc m:val="centerGroup"/>
    <m:wrapIndent m:val="1440"/>
    <m:intLim m:val="subSup"/>
    <m:naryLim m:val="undOvr"/>
  </m:mathPr>
  <w:themeFontLang w:val="ru-AU"/>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12A0AAF"/>
  <w15:chartTrackingRefBased/>
  <w15:docId w15:val="{63151974-D400-BF47-9C7B-4790D84D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874D4"/>
    <w:pPr>
      <w:keepNext/>
      <w:keepLines/>
      <w:spacing w:before="360" w:after="80" w:line="240" w:lineRule="auto"/>
      <w:jc w:val="center"/>
      <w:outlineLvl w:val="0"/>
    </w:pPr>
    <w:rPr>
      <w:rFonts w:ascii="Times New Roman" w:eastAsiaTheme="majorEastAsia" w:hAnsi="Times New Roman" w:cstheme="majorBidi"/>
      <w:color w:val="000000" w:themeColor="text1"/>
      <w:kern w:val="0"/>
      <w:sz w:val="28"/>
      <w:szCs w:val="40"/>
      <w:lang w:eastAsia="ru-RU"/>
      <w14:ligatures w14:val="none"/>
    </w:rPr>
  </w:style>
  <w:style w:type="paragraph" w:styleId="2">
    <w:name w:val="heading 2"/>
    <w:basedOn w:val="a"/>
    <w:next w:val="a"/>
    <w:link w:val="20"/>
    <w:uiPriority w:val="9"/>
    <w:unhideWhenUsed/>
    <w:qFormat/>
    <w:rsid w:val="00D874D4"/>
    <w:pPr>
      <w:keepNext/>
      <w:keepLines/>
      <w:spacing w:before="160" w:after="80" w:line="240" w:lineRule="auto"/>
      <w:jc w:val="center"/>
      <w:outlineLvl w:val="1"/>
    </w:pPr>
    <w:rPr>
      <w:rFonts w:ascii="Times New Roman" w:eastAsiaTheme="majorEastAsia" w:hAnsi="Times New Roman" w:cstheme="majorBidi"/>
      <w:color w:val="000000" w:themeColor="text1"/>
      <w:kern w:val="0"/>
      <w:sz w:val="28"/>
      <w:szCs w:val="32"/>
      <w:lang w:eastAsia="ru-RU"/>
      <w14:ligatures w14:val="none"/>
    </w:rPr>
  </w:style>
  <w:style w:type="paragraph" w:styleId="3">
    <w:name w:val="heading 3"/>
    <w:basedOn w:val="a"/>
    <w:next w:val="a"/>
    <w:link w:val="30"/>
    <w:uiPriority w:val="9"/>
    <w:unhideWhenUsed/>
    <w:qFormat/>
    <w:rsid w:val="00980B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80B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0B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0B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0B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0B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0B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74D4"/>
    <w:rPr>
      <w:rFonts w:ascii="Times New Roman" w:eastAsiaTheme="majorEastAsia" w:hAnsi="Times New Roman" w:cstheme="majorBidi"/>
      <w:color w:val="000000" w:themeColor="text1"/>
      <w:kern w:val="0"/>
      <w:sz w:val="28"/>
      <w:szCs w:val="40"/>
      <w:lang w:eastAsia="ru-RU"/>
      <w14:ligatures w14:val="none"/>
    </w:rPr>
  </w:style>
  <w:style w:type="character" w:customStyle="1" w:styleId="20">
    <w:name w:val="Заголовок 2 Знак"/>
    <w:basedOn w:val="a0"/>
    <w:link w:val="2"/>
    <w:uiPriority w:val="9"/>
    <w:rsid w:val="00D874D4"/>
    <w:rPr>
      <w:rFonts w:ascii="Times New Roman" w:eastAsiaTheme="majorEastAsia" w:hAnsi="Times New Roman" w:cstheme="majorBidi"/>
      <w:color w:val="000000" w:themeColor="text1"/>
      <w:kern w:val="0"/>
      <w:sz w:val="28"/>
      <w:szCs w:val="32"/>
      <w:lang w:eastAsia="ru-RU"/>
      <w14:ligatures w14:val="none"/>
    </w:rPr>
  </w:style>
  <w:style w:type="character" w:customStyle="1" w:styleId="30">
    <w:name w:val="Заголовок 3 Знак"/>
    <w:basedOn w:val="a0"/>
    <w:link w:val="3"/>
    <w:uiPriority w:val="9"/>
    <w:rsid w:val="00980BA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80BA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80BA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80B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0BAA"/>
    <w:rPr>
      <w:rFonts w:eastAsiaTheme="majorEastAsia" w:cstheme="majorBidi"/>
      <w:color w:val="595959" w:themeColor="text1" w:themeTint="A6"/>
    </w:rPr>
  </w:style>
  <w:style w:type="character" w:customStyle="1" w:styleId="80">
    <w:name w:val="Заголовок 8 Знак"/>
    <w:basedOn w:val="a0"/>
    <w:link w:val="8"/>
    <w:uiPriority w:val="9"/>
    <w:semiHidden/>
    <w:rsid w:val="00980B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0BAA"/>
    <w:rPr>
      <w:rFonts w:eastAsiaTheme="majorEastAsia" w:cstheme="majorBidi"/>
      <w:color w:val="272727" w:themeColor="text1" w:themeTint="D8"/>
    </w:rPr>
  </w:style>
  <w:style w:type="paragraph" w:styleId="a3">
    <w:name w:val="Title"/>
    <w:basedOn w:val="a"/>
    <w:next w:val="a"/>
    <w:link w:val="a4"/>
    <w:uiPriority w:val="10"/>
    <w:qFormat/>
    <w:rsid w:val="00980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80B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BA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80BA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80BAA"/>
    <w:pPr>
      <w:spacing w:before="160"/>
      <w:jc w:val="center"/>
    </w:pPr>
    <w:rPr>
      <w:i/>
      <w:iCs/>
      <w:color w:val="404040" w:themeColor="text1" w:themeTint="BF"/>
    </w:rPr>
  </w:style>
  <w:style w:type="character" w:customStyle="1" w:styleId="22">
    <w:name w:val="Цитата 2 Знак"/>
    <w:basedOn w:val="a0"/>
    <w:link w:val="21"/>
    <w:uiPriority w:val="29"/>
    <w:rsid w:val="00980BAA"/>
    <w:rPr>
      <w:i/>
      <w:iCs/>
      <w:color w:val="404040" w:themeColor="text1" w:themeTint="BF"/>
    </w:rPr>
  </w:style>
  <w:style w:type="paragraph" w:styleId="a7">
    <w:name w:val="List Paragraph"/>
    <w:basedOn w:val="a"/>
    <w:uiPriority w:val="34"/>
    <w:qFormat/>
    <w:rsid w:val="00980BAA"/>
    <w:pPr>
      <w:ind w:left="720"/>
      <w:contextualSpacing/>
    </w:pPr>
  </w:style>
  <w:style w:type="character" w:styleId="a8">
    <w:name w:val="Intense Emphasis"/>
    <w:basedOn w:val="a0"/>
    <w:uiPriority w:val="21"/>
    <w:qFormat/>
    <w:rsid w:val="00980BAA"/>
    <w:rPr>
      <w:i/>
      <w:iCs/>
      <w:color w:val="0F4761" w:themeColor="accent1" w:themeShade="BF"/>
    </w:rPr>
  </w:style>
  <w:style w:type="paragraph" w:styleId="a9">
    <w:name w:val="Intense Quote"/>
    <w:basedOn w:val="a"/>
    <w:next w:val="a"/>
    <w:link w:val="aa"/>
    <w:uiPriority w:val="30"/>
    <w:qFormat/>
    <w:rsid w:val="00980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80BAA"/>
    <w:rPr>
      <w:i/>
      <w:iCs/>
      <w:color w:val="0F4761" w:themeColor="accent1" w:themeShade="BF"/>
    </w:rPr>
  </w:style>
  <w:style w:type="character" w:styleId="ab">
    <w:name w:val="Intense Reference"/>
    <w:basedOn w:val="a0"/>
    <w:uiPriority w:val="32"/>
    <w:qFormat/>
    <w:rsid w:val="00980BAA"/>
    <w:rPr>
      <w:b/>
      <w:bCs/>
      <w:smallCaps/>
      <w:color w:val="0F4761" w:themeColor="accent1" w:themeShade="BF"/>
      <w:spacing w:val="5"/>
    </w:rPr>
  </w:style>
  <w:style w:type="paragraph" w:styleId="ac">
    <w:name w:val="Normal (Web)"/>
    <w:basedOn w:val="a"/>
    <w:uiPriority w:val="99"/>
    <w:unhideWhenUsed/>
    <w:rsid w:val="00980BA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980BAA"/>
    <w:rPr>
      <w:b/>
      <w:bCs/>
    </w:rPr>
  </w:style>
  <w:style w:type="character" w:styleId="HTML">
    <w:name w:val="HTML Code"/>
    <w:basedOn w:val="a0"/>
    <w:uiPriority w:val="99"/>
    <w:semiHidden/>
    <w:unhideWhenUsed/>
    <w:rsid w:val="00980BAA"/>
    <w:rPr>
      <w:rFonts w:ascii="Courier New" w:eastAsia="Times New Roman" w:hAnsi="Courier New" w:cs="Courier New"/>
      <w:sz w:val="20"/>
      <w:szCs w:val="20"/>
    </w:rPr>
  </w:style>
  <w:style w:type="character" w:customStyle="1" w:styleId="label-arplwj">
    <w:name w:val="label-arplwj"/>
    <w:basedOn w:val="a0"/>
    <w:rsid w:val="00980BAA"/>
  </w:style>
  <w:style w:type="character" w:customStyle="1" w:styleId="apple-converted-space">
    <w:name w:val="apple-converted-space"/>
    <w:basedOn w:val="a0"/>
    <w:rsid w:val="00980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3308">
      <w:bodyDiv w:val="1"/>
      <w:marLeft w:val="0"/>
      <w:marRight w:val="0"/>
      <w:marTop w:val="0"/>
      <w:marBottom w:val="0"/>
      <w:divBdr>
        <w:top w:val="none" w:sz="0" w:space="0" w:color="auto"/>
        <w:left w:val="none" w:sz="0" w:space="0" w:color="auto"/>
        <w:bottom w:val="none" w:sz="0" w:space="0" w:color="auto"/>
        <w:right w:val="none" w:sz="0" w:space="0" w:color="auto"/>
      </w:divBdr>
    </w:div>
    <w:div w:id="1650134122">
      <w:bodyDiv w:val="1"/>
      <w:marLeft w:val="0"/>
      <w:marRight w:val="0"/>
      <w:marTop w:val="0"/>
      <w:marBottom w:val="0"/>
      <w:divBdr>
        <w:top w:val="none" w:sz="0" w:space="0" w:color="auto"/>
        <w:left w:val="none" w:sz="0" w:space="0" w:color="auto"/>
        <w:bottom w:val="none" w:sz="0" w:space="0" w:color="auto"/>
        <w:right w:val="none" w:sz="0" w:space="0" w:color="auto"/>
      </w:divBdr>
      <w:divsChild>
        <w:div w:id="127480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332850">
          <w:marLeft w:val="0"/>
          <w:marRight w:val="0"/>
          <w:marTop w:val="0"/>
          <w:marBottom w:val="0"/>
          <w:divBdr>
            <w:top w:val="none" w:sz="0" w:space="0" w:color="auto"/>
            <w:left w:val="none" w:sz="0" w:space="0" w:color="auto"/>
            <w:bottom w:val="none" w:sz="0" w:space="0" w:color="auto"/>
            <w:right w:val="none" w:sz="0" w:space="0" w:color="auto"/>
          </w:divBdr>
        </w:div>
        <w:div w:id="1685784671">
          <w:blockQuote w:val="1"/>
          <w:marLeft w:val="720"/>
          <w:marRight w:val="720"/>
          <w:marTop w:val="100"/>
          <w:marBottom w:val="100"/>
          <w:divBdr>
            <w:top w:val="none" w:sz="0" w:space="0" w:color="auto"/>
            <w:left w:val="none" w:sz="0" w:space="0" w:color="auto"/>
            <w:bottom w:val="none" w:sz="0" w:space="0" w:color="auto"/>
            <w:right w:val="none" w:sz="0" w:space="0" w:color="auto"/>
          </w:divBdr>
        </w:div>
        <w:div w:id="341049537">
          <w:marLeft w:val="0"/>
          <w:marRight w:val="0"/>
          <w:marTop w:val="0"/>
          <w:marBottom w:val="0"/>
          <w:divBdr>
            <w:top w:val="none" w:sz="0" w:space="0" w:color="auto"/>
            <w:left w:val="none" w:sz="0" w:space="0" w:color="auto"/>
            <w:bottom w:val="none" w:sz="0" w:space="0" w:color="auto"/>
            <w:right w:val="none" w:sz="0" w:space="0" w:color="auto"/>
          </w:divBdr>
        </w:div>
        <w:div w:id="1012760291">
          <w:marLeft w:val="0"/>
          <w:marRight w:val="0"/>
          <w:marTop w:val="0"/>
          <w:marBottom w:val="0"/>
          <w:divBdr>
            <w:top w:val="none" w:sz="0" w:space="0" w:color="auto"/>
            <w:left w:val="none" w:sz="0" w:space="0" w:color="auto"/>
            <w:bottom w:val="none" w:sz="0" w:space="0" w:color="auto"/>
            <w:right w:val="none" w:sz="0" w:space="0" w:color="auto"/>
          </w:divBdr>
        </w:div>
        <w:div w:id="196989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097617">
          <w:marLeft w:val="0"/>
          <w:marRight w:val="0"/>
          <w:marTop w:val="0"/>
          <w:marBottom w:val="0"/>
          <w:divBdr>
            <w:top w:val="none" w:sz="0" w:space="0" w:color="auto"/>
            <w:left w:val="none" w:sz="0" w:space="0" w:color="auto"/>
            <w:bottom w:val="none" w:sz="0" w:space="0" w:color="auto"/>
            <w:right w:val="none" w:sz="0" w:space="0" w:color="auto"/>
          </w:divBdr>
        </w:div>
        <w:div w:id="1021781558">
          <w:marLeft w:val="0"/>
          <w:marRight w:val="0"/>
          <w:marTop w:val="0"/>
          <w:marBottom w:val="0"/>
          <w:divBdr>
            <w:top w:val="none" w:sz="0" w:space="0" w:color="auto"/>
            <w:left w:val="none" w:sz="0" w:space="0" w:color="auto"/>
            <w:bottom w:val="none" w:sz="0" w:space="0" w:color="auto"/>
            <w:right w:val="none" w:sz="0" w:space="0" w:color="auto"/>
          </w:divBdr>
        </w:div>
        <w:div w:id="86342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549375">
          <w:marLeft w:val="0"/>
          <w:marRight w:val="0"/>
          <w:marTop w:val="0"/>
          <w:marBottom w:val="0"/>
          <w:divBdr>
            <w:top w:val="none" w:sz="0" w:space="0" w:color="auto"/>
            <w:left w:val="none" w:sz="0" w:space="0" w:color="auto"/>
            <w:bottom w:val="none" w:sz="0" w:space="0" w:color="auto"/>
            <w:right w:val="none" w:sz="0" w:space="0" w:color="auto"/>
          </w:divBdr>
        </w:div>
        <w:div w:id="209663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52154844">
          <w:marLeft w:val="0"/>
          <w:marRight w:val="0"/>
          <w:marTop w:val="0"/>
          <w:marBottom w:val="0"/>
          <w:divBdr>
            <w:top w:val="none" w:sz="0" w:space="0" w:color="auto"/>
            <w:left w:val="none" w:sz="0" w:space="0" w:color="auto"/>
            <w:bottom w:val="none" w:sz="0" w:space="0" w:color="auto"/>
            <w:right w:val="none" w:sz="0" w:space="0" w:color="auto"/>
          </w:divBdr>
        </w:div>
        <w:div w:id="209959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76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587278649">
          <w:marLeft w:val="0"/>
          <w:marRight w:val="0"/>
          <w:marTop w:val="0"/>
          <w:marBottom w:val="0"/>
          <w:divBdr>
            <w:top w:val="none" w:sz="0" w:space="0" w:color="auto"/>
            <w:left w:val="none" w:sz="0" w:space="0" w:color="auto"/>
            <w:bottom w:val="none" w:sz="0" w:space="0" w:color="auto"/>
            <w:right w:val="none" w:sz="0" w:space="0" w:color="auto"/>
          </w:divBdr>
        </w:div>
        <w:div w:id="46031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714396">
          <w:marLeft w:val="0"/>
          <w:marRight w:val="0"/>
          <w:marTop w:val="0"/>
          <w:marBottom w:val="0"/>
          <w:divBdr>
            <w:top w:val="none" w:sz="0" w:space="0" w:color="auto"/>
            <w:left w:val="none" w:sz="0" w:space="0" w:color="auto"/>
            <w:bottom w:val="none" w:sz="0" w:space="0" w:color="auto"/>
            <w:right w:val="none" w:sz="0" w:space="0" w:color="auto"/>
          </w:divBdr>
        </w:div>
        <w:div w:id="1024206677">
          <w:marLeft w:val="0"/>
          <w:marRight w:val="0"/>
          <w:marTop w:val="0"/>
          <w:marBottom w:val="0"/>
          <w:divBdr>
            <w:top w:val="none" w:sz="0" w:space="0" w:color="auto"/>
            <w:left w:val="none" w:sz="0" w:space="0" w:color="auto"/>
            <w:bottom w:val="none" w:sz="0" w:space="0" w:color="auto"/>
            <w:right w:val="none" w:sz="0" w:space="0" w:color="auto"/>
          </w:divBdr>
        </w:div>
        <w:div w:id="1074159445">
          <w:marLeft w:val="0"/>
          <w:marRight w:val="0"/>
          <w:marTop w:val="0"/>
          <w:marBottom w:val="0"/>
          <w:divBdr>
            <w:top w:val="none" w:sz="0" w:space="0" w:color="auto"/>
            <w:left w:val="none" w:sz="0" w:space="0" w:color="auto"/>
            <w:bottom w:val="none" w:sz="0" w:space="0" w:color="auto"/>
            <w:right w:val="none" w:sz="0" w:space="0" w:color="auto"/>
          </w:divBdr>
        </w:div>
        <w:div w:id="1427068821">
          <w:marLeft w:val="0"/>
          <w:marRight w:val="0"/>
          <w:marTop w:val="0"/>
          <w:marBottom w:val="0"/>
          <w:divBdr>
            <w:top w:val="none" w:sz="0" w:space="0" w:color="auto"/>
            <w:left w:val="none" w:sz="0" w:space="0" w:color="auto"/>
            <w:bottom w:val="none" w:sz="0" w:space="0" w:color="auto"/>
            <w:right w:val="none" w:sz="0" w:space="0" w:color="auto"/>
          </w:divBdr>
        </w:div>
        <w:div w:id="467019822">
          <w:marLeft w:val="0"/>
          <w:marRight w:val="0"/>
          <w:marTop w:val="0"/>
          <w:marBottom w:val="0"/>
          <w:divBdr>
            <w:top w:val="none" w:sz="0" w:space="0" w:color="auto"/>
            <w:left w:val="none" w:sz="0" w:space="0" w:color="auto"/>
            <w:bottom w:val="none" w:sz="0" w:space="0" w:color="auto"/>
            <w:right w:val="none" w:sz="0" w:space="0" w:color="auto"/>
          </w:divBdr>
        </w:div>
        <w:div w:id="1979988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13759">
          <w:blockQuote w:val="1"/>
          <w:marLeft w:val="720"/>
          <w:marRight w:val="720"/>
          <w:marTop w:val="100"/>
          <w:marBottom w:val="100"/>
          <w:divBdr>
            <w:top w:val="none" w:sz="0" w:space="0" w:color="auto"/>
            <w:left w:val="none" w:sz="0" w:space="0" w:color="auto"/>
            <w:bottom w:val="none" w:sz="0" w:space="0" w:color="auto"/>
            <w:right w:val="none" w:sz="0" w:space="0" w:color="auto"/>
          </w:divBdr>
        </w:div>
        <w:div w:id="76226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634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1775</Words>
  <Characters>10122</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dc:creator>
  <cp:keywords/>
  <dc:description/>
  <cp:lastModifiedBy>Артем</cp:lastModifiedBy>
  <cp:revision>10</cp:revision>
  <dcterms:created xsi:type="dcterms:W3CDTF">2026-09-30T10:48:00Z</dcterms:created>
  <dcterms:modified xsi:type="dcterms:W3CDTF">2026-09-30T16:55:00Z</dcterms:modified>
</cp:coreProperties>
</file>