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firstLine="567"/>
        <w:rPr/>
      </w:pPr>
      <w:r>
        <w:rPr/>
        <w:t>Контроль точности при численном интегрировании жестких систем</w:t>
      </w:r>
    </w:p>
    <w:p>
      <w:pPr>
        <w:pStyle w:val="Title"/>
        <w:ind w:firstLine="567"/>
        <w:rPr/>
      </w:pPr>
      <w:r>
        <w:rPr/>
        <w:t>Введение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firstLine="567"/>
        <w:contextualSpacing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Длина дуги.</w:t>
      </w:r>
      <w:r>
        <w:rPr>
          <w:sz w:val="28"/>
          <w:szCs w:val="28"/>
        </w:rPr>
        <w:t xml:space="preserve"> 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eastAsiaTheme="minorEastAsia"/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commentReference w:id="0"/>
      </w:r>
    </w:p>
    <w:p>
      <w:pPr>
        <w:pStyle w:val="Normal"/>
        <w:spacing w:before="0" w:after="160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eastAsiaTheme="minorEastAsia"/>
          <w:sz w:val="28"/>
          <w:szCs w:val="28"/>
        </w:rPr>
        <w:t xml:space="preserve"> – скаляр, 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,1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eastAsia="" w:eastAsiaTheme="minorEastAsia"/>
          <w:bCs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,1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sz w:val="28"/>
          <w:szCs w:val="28"/>
        </w:rPr>
        <w:t xml:space="preserve"> – векторные функции, 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eastAsiaTheme="minorEastAsia"/>
          <w:sz w:val="28"/>
          <w:szCs w:val="28"/>
        </w:rPr>
        <w:t xml:space="preserve"> – размерность системы.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Задачу традиционно считают жесткой,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‖"/>
            <m:endChr m:val="‖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≫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  <w:sz w:val="28"/>
          <w:szCs w:val="28"/>
        </w:rPr>
        <w:t xml:space="preserve"> хотя бы в части отрезка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>. Решению жестких задач посвящена обширная литература, наиболее подробный обзор которой дан в монографии [</w:t>
      </w:r>
      <w:r>
        <w:rPr>
          <w:rFonts w:eastAsia="" w:eastAsiaTheme="minorEastAsia"/>
          <w:i/>
          <w:iCs/>
          <w:sz w:val="28"/>
          <w:szCs w:val="28"/>
        </w:rPr>
        <w:t>Хайрер, Ваннер</w:t>
      </w:r>
      <w:r>
        <w:rPr>
          <w:rFonts w:eastAsia="" w:eastAsiaTheme="minorEastAsia"/>
          <w:sz w:val="28"/>
          <w:szCs w:val="28"/>
        </w:rPr>
        <w:t>].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Различают два типа прикладных задач. Первый тип – это так называемые большие, или многопроцессные, задачи.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Расчет уравнений в частных производных гораздо более трудоемок, чем решение ОДУ. Поэтому в больших задачах шаг по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eastAsiaTheme="minorEastAsia"/>
          <w:sz w:val="28"/>
          <w:szCs w:val="28"/>
        </w:rPr>
        <w:t xml:space="preserve"> определяется требованиями методов решения уравнений в частных производных. Этот же 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cs="Calibri" w:cstheme="minorHAnsi" w:eastAsiaTheme="minorEastAsia"/>
          <w:sz w:val="28"/>
          <w:szCs w:val="28"/>
        </w:rPr>
        <w:t>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  <w:lang w:val="en-US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 определяется соотношением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cs="Calibri" w:cstheme="minorHAnsi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l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</m:sup>
            <m:e>
              <m:r>
                <w:rPr>
                  <w:rFonts w:ascii="Cambria Math" w:hAnsi="Cambria Math"/>
                </w:rPr>
                <m:t xml:space="preserve">d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 xml:space="preserve">d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Если выбран новый аргумент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, то старый аргумент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становится его функцией:</w:t>
      </w:r>
    </w:p>
    <w:p>
      <w:pPr>
        <w:pStyle w:val="Normal"/>
        <w:spacing w:before="0" w:after="160"/>
        <w:contextualSpacing/>
        <w:jc w:val="center"/>
        <w:rPr>
          <w:rFonts w:eastAsia="" w:cs="Calibri" w:cstheme="minorHAnsi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≡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;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таким образом, число неизвестных функций становится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Формально новую функцию можно включить в систему (1), добавив туда уравнение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≡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/>
          <w:i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Напомним, что расширенная система ОДУ содержит в правых частях аргумент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.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Его в правых частях можно заменить на новую функцию: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≡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Тогда расширенная система формально не будет содержать аргумента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в правых частях, то есть станет автономной.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  <w:lang w:val="en-US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Перейдем к новому аргументу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.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Для этого в расширенной системе (1) заменим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dl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с помощью соотношения (2). Получим следующую систему размерности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Calibri" w:cstheme="minorHAnsi" w:eastAsiaTheme="minorEastAsia"/>
          <w:sz w:val="28"/>
          <w:szCs w:val="28"/>
          <w:lang w:val="en-US"/>
        </w:rPr>
        <w:t>: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cs="Calibri" w:cstheme="minorHAnsi" w:eastAsiaTheme="minorEastAsia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dl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p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 xml:space="preserve">,0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≡</m:t>
          </m:r>
          <m:r>
            <w:rPr>
              <w:rFonts w:ascii="Cambria Math" w:hAnsi="Cambria Math"/>
            </w:rPr>
            <m:t xml:space="preserve">1.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При аргументе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сумма квадратов правых частей (4) равна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eastAsia="" w:cs="Calibri" w:cstheme="minorHAnsi" w:eastAsiaTheme="minorEastAsia"/>
          <w:sz w:val="28"/>
          <w:szCs w:val="28"/>
        </w:rPr>
        <w:t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[</w:t>
      </w:r>
      <w:r>
        <w:rPr>
          <w:rFonts w:eastAsia="" w:cs="Calibri" w:cstheme="minorHAnsi" w:eastAsiaTheme="minorEastAsia"/>
          <w:i/>
          <w:iCs/>
          <w:sz w:val="28"/>
          <w:szCs w:val="28"/>
        </w:rPr>
        <w:t>Кузнецов</w:t>
      </w:r>
      <w:r>
        <w:rPr>
          <w:rFonts w:eastAsia="" w:cs="Calibri" w:cstheme="minorHAnsi" w:eastAsiaTheme="minorEastAsia"/>
          <w:sz w:val="28"/>
          <w:szCs w:val="28"/>
        </w:rPr>
        <w:t xml:space="preserve">]. Заметим, что правые части (4) не содержат аргумента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eastAsia="" w:cs="Calibri" w:cstheme="minorHAnsi" w:eastAsiaTheme="minorEastAsia"/>
          <w:sz w:val="28"/>
          <w:szCs w:val="28"/>
        </w:rPr>
        <w:t>, то есть эта система является автономной.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Переход к длине дуги практически не увеличивает трудоемкость одного шага численных расчетов. Практически всегда основное время расчетов уходит на вычисление правых частей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eastAsia="" w:cs="Calibri" w:cstheme="minorHAnsi" w:eastAsiaTheme="minorEastAsia"/>
          <w:sz w:val="28"/>
          <w:szCs w:val="28"/>
        </w:rPr>
        <w:t xml:space="preserve">, которые могут быть достаточно сложными функциями своих аргументов. Переход от (4) к (1)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, что так же мало существенно для прикладных задач,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обычно довольно велико.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b/>
          <w:bCs/>
          <w:i/>
          <w:iCs/>
          <w:sz w:val="28"/>
          <w:szCs w:val="28"/>
        </w:rPr>
        <w:t xml:space="preserve">Выбор шага. </w:t>
      </w:r>
      <w:r>
        <w:rPr>
          <w:rFonts w:eastAsia="" w:cs="Calibri" w:cstheme="minorHAnsi" w:eastAsiaTheme="minorEastAsia"/>
          <w:sz w:val="28"/>
          <w:szCs w:val="28"/>
        </w:rPr>
        <w:t>Расчет с постоянным шагом по времени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или по длине дуги 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[1]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-го порядка точности, в которую вложена схема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-го порядка точности. Результат вложенной схемы берут в качестве ответа. По разности результатов двух схем выбирают величину следующего шага. Во втором методе 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рассчитывают повторно, разбив его на два шага величиной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τ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Calibri" w:cstheme="minorHAnsi" w:eastAsiaTheme="minorEastAsia"/>
          <w:sz w:val="28"/>
          <w:szCs w:val="28"/>
        </w:rPr>
        <w:t>. По разности этих расчетов вычисляют новый шаг.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требуемой точности.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Намного хуже ситуация для случая жестких задач. Для них расчеты на тестах показали [], что реальная точность может быть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1000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Дормана-Принса </w:t>
      </w:r>
      <w:r>
        <w:rPr>
          <w:rFonts w:eastAsia="" w:cs="Calibri" w:cstheme="minorHAnsi" w:eastAsiaTheme="minorEastAsia"/>
          <w:sz w:val="28"/>
          <w:szCs w:val="28"/>
          <w:lang w:val="en-US"/>
        </w:rPr>
        <w:t>dopri</w:t>
      </w:r>
      <w:r>
        <w:rPr>
          <w:rFonts w:eastAsia="" w:cs="Calibri" w:cstheme="minorHAnsi" w:eastAsiaTheme="minorEastAsia"/>
          <w:sz w:val="28"/>
          <w:szCs w:val="28"/>
        </w:rPr>
        <w:t xml:space="preserve">5. Кроме того, на жестких задачах возможны “срывы” шага: иногда на участках слабо меняющегося решения программа без видимых причин уменьшает шаг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1000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раз. Затем шаг постепенно увеличивается, но снова срывается; это может повторяться много раз. В [</w:t>
      </w:r>
      <w:r>
        <w:rPr>
          <w:rFonts w:eastAsia="" w:cs="Calibri" w:cstheme="minorHAnsi" w:eastAsiaTheme="minorEastAsia"/>
          <w:i/>
          <w:iCs/>
          <w:sz w:val="28"/>
          <w:szCs w:val="28"/>
        </w:rPr>
        <w:t>Пошивайло, НН, Белов</w:t>
      </w:r>
      <w:r>
        <w:rPr>
          <w:rFonts w:eastAsia="" w:cs="Calibri" w:cstheme="minorHAnsi" w:eastAsiaTheme="minorEastAsia"/>
          <w:sz w:val="28"/>
          <w:szCs w:val="28"/>
        </w:rPr>
        <w:t xml:space="preserve">] был предложен принципиально другой алгоритм автоматического выбора шага. Он основан на использовании длины дуги и кривизны </w:t>
      </w:r>
      <w:commentRangeStart w:id="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 </w:t>
      </w:r>
      <w:r>
        <w:rPr>
          <w:rFonts w:eastAsia="" w:cs="Calibri" w:cstheme="minorHAnsi" w:eastAsiaTheme="minorEastAsia"/>
          <w:sz w:val="28"/>
          <w:szCs w:val="28"/>
        </w:rPr>
      </w:r>
      <w:commentRangeEnd w:id="1"/>
      <w:r>
        <w:commentReference w:id="1"/>
      </w:r>
      <w:r>
        <w:rPr>
          <w:rFonts w:eastAsia="" w:cs="Calibri" w:cstheme="minorHAnsi" w:eastAsiaTheme="minorEastAsia"/>
          <w:sz w:val="28"/>
          <w:szCs w:val="28"/>
        </w:rPr>
        <w:t xml:space="preserve">интегральной кривой в многомерном пространстве. Интуитивно понятно, что чем больше кривизна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, тем меньше должен быть шаг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cs="Calibri" w:cstheme="minorHAnsi" w:eastAsiaTheme="minorEastAsia"/>
          <w:sz w:val="28"/>
          <w:szCs w:val="28"/>
        </w:rPr>
        <w:t>. Но каким должен быть алгоритм, связывающий эти две величины?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b/>
          <w:bCs/>
          <w:i/>
          <w:iCs/>
          <w:sz w:val="28"/>
          <w:szCs w:val="28"/>
        </w:rPr>
        <w:t xml:space="preserve">Оптимальный шаг. </w:t>
      </w:r>
      <w:r>
        <w:rPr>
          <w:rFonts w:eastAsia="" w:cs="Calibri" w:cstheme="minorHAnsi" w:eastAsiaTheme="minorEastAsia"/>
          <w:sz w:val="28"/>
          <w:szCs w:val="28"/>
        </w:rPr>
        <w:t xml:space="preserve">Напомним определение кривизны кривой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 в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-мерном пространстве с координатами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eastAsia="" w:cs="Calibri" w:cstheme="minorHAnsi" w:eastAsiaTheme="minorEastAsia"/>
          <w:sz w:val="28"/>
          <w:szCs w:val="28"/>
        </w:rPr>
        <w:t xml:space="preserve">. Касательная к этой кривой определяется через производную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rFonts w:eastAsia="" w:cs="Calibri" w:cstheme="minorHAnsi" w:eastAsiaTheme="minorEastAsia"/>
          <w:sz w:val="28"/>
          <w:szCs w:val="28"/>
        </w:rPr>
        <w:t>. Деля на длину этого вектора, получим единичный вектор направления касательной: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cs="Calibri" w:cstheme="minorHAnsi" w:eastAsiaTheme="minorEastAsia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f>
                <m:num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dt</m:t>
                  </m:r>
                </m:den>
              </m:f>
            </m:num>
            <m:den>
              <m:sSub>
                <m:e>
                  <m:d>
                    <m:dPr>
                      <m:begChr m:val="‖"/>
                      <m:endChr m:val="‖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>Кривизна определяется как производная вектора направления касательной по длине дуги:</w:t>
      </w:r>
    </w:p>
    <w:p>
      <w:pPr>
        <w:pStyle w:val="Normal"/>
        <w:spacing w:before="0" w:after="160"/>
        <w:contextualSpacing/>
        <w:jc w:val="center"/>
        <w:rPr>
          <w:rFonts w:eastAsia="" w:cs="Calibri" w:cstheme="minorHAnsi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κ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κ</m:t>
          </m:r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‖"/>
                  <m:endChr m:val="‖"/>
                </m:dPr>
                <m:e>
                  <m:r>
                    <w:rPr>
                      <w:rFonts w:ascii="Cambria Math" w:hAnsi="Cambria Math"/>
                    </w:rPr>
                    <m:t xml:space="preserve">κ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порядка с кривой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Наряду с этим говорят о скалярной кривизне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>, которая равна величине радиуса этой окружности.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>В ранних работах [</w:t>
      </w:r>
      <w:r>
        <w:rPr>
          <w:rFonts w:eastAsia="" w:cs="Calibri" w:cstheme="minorHAnsi" w:eastAsiaTheme="minorEastAsia"/>
          <w:i/>
          <w:iCs/>
          <w:sz w:val="28"/>
          <w:szCs w:val="28"/>
        </w:rPr>
        <w:t>Пошивайло</w:t>
      </w:r>
      <w:r>
        <w:rPr>
          <w:rFonts w:eastAsia="" w:cs="Calibri" w:cstheme="minorHAnsi" w:eastAsiaTheme="minorEastAsia"/>
          <w:sz w:val="28"/>
          <w:szCs w:val="28"/>
        </w:rPr>
        <w:t xml:space="preserve">] с помощью многих численных экспериментов была подобрана неплохая эвристическая закономерность: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∼</m:t>
        </m:r>
        <m:sSup>
          <m:e>
            <m:r>
              <w:rPr>
                <w:rFonts w:ascii="Cambria Math" w:hAnsi="Cambria Math"/>
              </w:rPr>
              <m:t xml:space="preserve">κ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</m:t>
            </m:r>
          </m:sup>
        </m:sSup>
      </m:oMath>
      <w:r>
        <w:rPr>
          <w:rFonts w:eastAsia="" w:cs="Calibri" w:cstheme="minorHAnsi" w:eastAsiaTheme="minorEastAsia"/>
          <w:sz w:val="28"/>
          <w:szCs w:val="28"/>
        </w:rPr>
        <w:t>. Она позволила провести расчеты некоторых прикладных задач, например – образование окислов фосфора и серы при горении различных топлив.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sz w:val="28"/>
          <w:szCs w:val="28"/>
        </w:rPr>
      </w:pPr>
      <w:r>
        <w:rPr>
          <w:rFonts w:eastAsia="" w:cs="Calibri" w:cstheme="minorHAnsi" w:eastAsiaTheme="minorEastAsia"/>
          <w:sz w:val="28"/>
          <w:szCs w:val="28"/>
        </w:rPr>
        <w:t xml:space="preserve">Задача теоретического нахождения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κ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[</w:t>
      </w:r>
      <w:r>
        <w:rPr>
          <w:rFonts w:eastAsia="" w:cs="Calibri" w:cstheme="minorHAnsi" w:eastAsiaTheme="minorEastAsia"/>
          <w:i/>
          <w:iCs/>
          <w:sz w:val="28"/>
          <w:szCs w:val="28"/>
        </w:rPr>
        <w:t>диф. ур.</w:t>
      </w:r>
      <w:r>
        <w:rPr>
          <w:rFonts w:eastAsia="" w:cs="Calibri" w:cstheme="minorHAnsi" w:eastAsiaTheme="minorEastAsia"/>
          <w:sz w:val="28"/>
          <w:szCs w:val="28"/>
        </w:rPr>
        <w:t xml:space="preserve">], для которого теоретически обосновывается формула выбора оптимального шага. Пусть схема интегрирования имеет точность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</m:e>
        </m:d>
      </m:oMath>
      <w:r>
        <w:rPr>
          <w:rFonts w:eastAsia="" w:cs="Calibri" w:cstheme="minorHAnsi" w:eastAsiaTheme="minorEastAsia"/>
          <w:sz w:val="28"/>
          <w:szCs w:val="28"/>
        </w:rPr>
        <w:t xml:space="preserve">; это может быть явная или неявная схема Эйлера или явно-неявная </w:t>
      </w:r>
      <w:r>
        <w:rPr>
          <w:rFonts w:eastAsia="" w:cs="Calibri" w:cstheme="minorHAnsi" w:eastAsiaTheme="minorEastAsia"/>
          <w:sz w:val="28"/>
          <w:szCs w:val="28"/>
          <w:lang w:val="en-US"/>
        </w:rPr>
        <w:t>L</w:t>
      </w:r>
      <w:r>
        <w:rPr>
          <w:rFonts w:eastAsia="" w:cs="Calibri" w:cstheme="minorHAnsi" w:eastAsiaTheme="minorEastAsia"/>
          <w:sz w:val="28"/>
          <w:szCs w:val="28"/>
        </w:rPr>
        <w:t>1-устойчивая схема Розенброка. Тогда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cs="Calibri" w:cstheme="minorHAnsi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h</m:t>
              </m:r>
            </m:e>
            <m:sub>
              <m:r>
                <w:rPr>
                  <w:rFonts w:ascii="Cambria Math" w:hAnsi="Cambria Math"/>
                </w:rPr>
                <m:t xml:space="preserve">opt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κ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const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κ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>Как часто оказывается, “чистая” теоретическая формула (7) для своего практического применения требует “кухонных” поправок.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Во-первых, ясно, что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она дает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Формально это правильно: если на некотором участке кривой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, этот участок есть прямая, то есть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На практике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Надо ввести такую поправку, чтобы в любом случае число интервалов было не меньше некоторого разумного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eastAsia="" w:cs="Calibri" w:cstheme="minorHAnsi" w:eastAsiaTheme="minorEastAsia"/>
          <w:iCs/>
          <w:sz w:val="28"/>
          <w:szCs w:val="28"/>
        </w:rPr>
        <w:t>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Во-вторых, надо дать разумное определение константы в (6). В нее должна быть включена некоторая интегральная нормировка по длине дуги, обеспечивающая желательное количество интервалов сетки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Calibri" w:cstheme="minorHAnsi" w:eastAsiaTheme="minorEastAsia"/>
          <w:iCs/>
          <w:sz w:val="28"/>
          <w:szCs w:val="28"/>
        </w:rPr>
        <w:t>.</w:t>
      </w:r>
    </w:p>
    <w:p>
      <w:pPr>
        <w:pStyle w:val="Normal"/>
        <w:spacing w:before="0" w:after="160"/>
        <w:ind w:firstLine="567"/>
        <w:contextualSpacing/>
        <w:jc w:val="both"/>
        <w:rPr>
          <w:rFonts w:eastAsia="" w:cs="Calibri" w:cstheme="minorHAnsi" w:eastAsiaTheme="minorEastAsia"/>
          <w:iCs/>
          <w:sz w:val="28"/>
          <w:szCs w:val="28"/>
        </w:rPr>
      </w:pPr>
      <w:r>
        <w:rPr>
          <w:rFonts w:eastAsia="" w:cs="Calibri" w:cstheme="minorHAnsi" w:eastAsiaTheme="minorEastAsia"/>
          <w:iCs/>
          <w:sz w:val="28"/>
          <w:szCs w:val="28"/>
        </w:rPr>
        <w:t>Исходя из этого, в [</w:t>
      </w:r>
      <w:r>
        <w:rPr>
          <w:rFonts w:eastAsia="" w:cs="Calibri" w:cstheme="minorHAnsi" w:eastAsiaTheme="minorEastAsia"/>
          <w:i/>
          <w:sz w:val="28"/>
          <w:szCs w:val="28"/>
        </w:rPr>
        <w:t>дифф ур</w:t>
      </w:r>
      <w:r>
        <w:rPr>
          <w:rFonts w:eastAsia="" w:cs="Calibri" w:cstheme="minorHAnsi" w:eastAsiaTheme="minorEastAsia"/>
          <w:iCs/>
          <w:sz w:val="28"/>
          <w:szCs w:val="28"/>
        </w:rPr>
        <w:t xml:space="preserve">] был предложен следующий алгоритм. Пусть требуется решить задачу (4)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с априорно заданными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eastAsia="" w:cs="Calibri" w:cstheme="minorHAnsi" w:eastAsiaTheme="minorEastAsia"/>
          <w:iCs/>
          <w:sz w:val="28"/>
          <w:szCs w:val="28"/>
        </w:rPr>
        <w:t>. Несколько видоизменим формулу (7) с учетом сделанных замечаний:</w:t>
      </w:r>
    </w:p>
    <w:p>
      <w:pPr>
        <w:pStyle w:val="Normal"/>
        <w:spacing w:before="0" w:after="160"/>
        <w:ind w:firstLine="567"/>
        <w:contextualSpacing/>
        <w:jc w:val="center"/>
        <w:rPr>
          <w:rFonts w:eastAsia="" w:cs="Calibri" w:cstheme="minorHAnsi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["/>
                  <m:endChr m:val="]"/>
                </m:dPr>
                <m:e>
                  <m:f>
                    <m:fPr>
                      <m:type m:val="lin"/>
                    </m:fPr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fPr>
                      <m:type m:val="lin"/>
                    </m:fPr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max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κ</m:t>
                          </m:r>
                        </m:e>
                        <m:sup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den>
                          </m:f>
                        </m:sup>
                      </m:sSup>
                    </m:num>
                    <m:den>
                      <m:nary>
                        <m:naryPr>
                          <m:chr m:val="∫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p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κ</m:t>
                              </m:r>
                            </m:e>
                            <m:sup>
                              <m:f>
                                <m:fPr>
                                  <m:type m:val="lin"/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5</m:t>
                                  </m:r>
                                </m:den>
                              </m:f>
                            </m:sup>
                          </m:s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'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</m:e>
          </m:d>
        </m:oMath>
      </m:oMathPara>
    </w:p>
    <w:p>
      <w:pPr>
        <w:pStyle w:val="Normal"/>
        <w:spacing w:before="0" w:after="160"/>
        <w:contextualSpacing/>
        <w:jc w:val="both"/>
        <w:rPr>
          <w:rFonts w:eastAsia="" w:cs="Calibri" w:cstheme="minorHAnsi" w:eastAsiaTheme="minorEastAsia"/>
          <w:iCs/>
          <w:sz w:val="28"/>
          <w:szCs w:val="28"/>
          <w:lang w:val="en-US"/>
        </w:rPr>
      </w:pPr>
      <w:r>
        <w:rPr>
          <w:rFonts w:eastAsia="" w:cs="Calibri" w:cstheme="minorHAnsi" w:eastAsiaTheme="minorEastAsia"/>
          <w:iCs/>
          <w:sz w:val="28"/>
          <w:szCs w:val="28"/>
        </w:rPr>
        <w:t xml:space="preserve">В точках с очень малой кривизной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она дает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≈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L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</m:den>
        </m:f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В точках с очень большой кривизной формула (8) переходит в (7); при этом константа такова, что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  <m:r>
              <w:rPr>
                <w:rFonts w:ascii="Cambria Math" w:hAnsi="Cambria Math"/>
              </w:rPr>
              <m:t xml:space="preserve">dl</m:t>
            </m:r>
          </m:e>
        </m:nary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. При любых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κ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не может получиться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 xml:space="preserve"> 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∞</m:t>
        </m:r>
      </m:oMath>
      <w:r>
        <w:rPr>
          <w:rFonts w:eastAsia="" w:cs="Calibri" w:cstheme="minorHAnsi" w:eastAsiaTheme="minorEastAsia"/>
          <w:iCs/>
          <w:sz w:val="28"/>
          <w:szCs w:val="28"/>
        </w:rPr>
        <w:t>. Это свидетельствует о разумности формулы (8).</w:t>
      </w:r>
      <w:bookmarkStart w:id="0" w:name="_GoBack"/>
      <w:bookmarkEnd w:id="0"/>
    </w:p>
    <w:p>
      <w:pPr>
        <w:pStyle w:val="Title"/>
        <w:rPr>
          <w:rFonts w:eastAsia="" w:eastAsiaTheme="minorEastAsia"/>
        </w:rPr>
      </w:pPr>
      <w:r>
        <w:rPr>
          <w:rFonts w:eastAsia="" w:eastAsiaTheme="minorEastAsia"/>
        </w:rPr>
        <w:t>Дальше:</w:t>
      </w:r>
    </w:p>
    <w:p>
      <w:pPr>
        <w:pStyle w:val="Title"/>
        <w:rPr>
          <w:rFonts w:eastAsia="" w:eastAsiaTheme="minorEastAsia"/>
        </w:rPr>
      </w:pPr>
      <w:r>
        <w:rPr>
          <w:rFonts w:eastAsia="" w:eastAsiaTheme="minorEastAsia"/>
        </w:rPr>
        <w:t>Послать Белову чтобы он внес правки и поставил лит-ру.</w:t>
      </w:r>
    </w:p>
    <w:p>
      <w:pPr>
        <w:pStyle w:val="Title"/>
        <w:rPr/>
      </w:pPr>
      <w:r>
        <w:rPr/>
        <w:t>Формулы тестов с синусом и тангенсом.</w:t>
      </w:r>
    </w:p>
    <w:p>
      <w:pPr>
        <w:pStyle w:val="Title"/>
        <w:rPr>
          <w:lang w:val="en-US"/>
        </w:rPr>
      </w:pPr>
      <w:r>
        <w:rPr/>
        <w:t xml:space="preserve">Рисунки: с разными лямбда </w:t>
      </w:r>
      <w:r>
        <w:rPr>
          <w:lang w:val="en-US"/>
        </w:rPr>
        <w:t>ERK</w:t>
      </w:r>
      <w:r>
        <w:rPr/>
        <w:t xml:space="preserve">1, </w:t>
      </w:r>
      <w:r>
        <w:rPr>
          <w:lang w:val="en-US"/>
        </w:rPr>
        <w:t>ERK</w:t>
      </w:r>
      <w:r>
        <w:rPr/>
        <w:t xml:space="preserve">2, </w:t>
      </w:r>
      <w:r>
        <w:rPr>
          <w:lang w:val="en-US"/>
        </w:rPr>
        <w:t>ERK</w:t>
      </w:r>
      <w:r>
        <w:rPr/>
        <w:t xml:space="preserve">4. + для лямбда 10^4 </w:t>
      </w:r>
      <w:r>
        <w:rPr>
          <w:lang w:val="en-US"/>
        </w:rPr>
        <w:t>ERK</w:t>
      </w:r>
      <w:r>
        <w:rPr/>
        <w:t>1+</w:t>
      </w:r>
      <w:r>
        <w:rPr>
          <w:lang w:val="en-US"/>
        </w:rPr>
        <w:t>ERK</w:t>
      </w:r>
      <w:r>
        <w:rPr/>
        <w:t>2+</w:t>
      </w:r>
      <w:r>
        <w:rPr>
          <w:lang w:val="en-US"/>
        </w:rPr>
        <w:t>ERK</w:t>
      </w:r>
      <w:r>
        <w:rPr/>
        <w:t>4 из одной точки.</w:t>
      </w:r>
    </w:p>
    <w:p>
      <w:pPr>
        <w:pStyle w:val="Title"/>
        <w:rPr/>
      </w:pPr>
      <w:r>
        <w:rPr/>
        <w:t>Графики решения для трех лямбд в одном масштабе. Тоненькой линией вся кривая, маркерами или жирной – расчетный участок, где кривизна от 1 до 1.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09-30T14:36:16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Include 0?</w:t>
      </w:r>
    </w:p>
  </w:comment>
  <w:comment w:id="1" w:author="Artem Vergazov" w:date="2020-09-27T17:39:00Z" w:initials="AV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Kappa font?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be6e2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e6e2c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6e2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be6e2c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be6e2c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ab"/>
    <w:uiPriority w:val="99"/>
    <w:semiHidden/>
    <w:qFormat/>
    <w:rsid w:val="00be6e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4"/>
    <w:uiPriority w:val="10"/>
    <w:qFormat/>
    <w:rsid w:val="00be6e2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be6e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be6e2c"/>
    <w:pPr/>
    <w:rPr>
      <w:b/>
      <w:bCs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be6e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7321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2732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0590-394A-4DF7-9102-2D1C3168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Application>LibreOffice/7.0.1.2$Windows_X86_64 LibreOffice_project/7cbcfc562f6eb6708b5ff7d7397325de9e764452</Application>
  <Pages>5</Pages>
  <Words>1171</Words>
  <Characters>7204</Characters>
  <CharactersWithSpaces>8381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2020-09-27T10:55:00Z</dcterms:created>
  <dc:creator>Artem Vergazov</dc:creator>
  <dc:description/>
  <dc:language>ru-RU</dc:language>
  <cp:lastModifiedBy/>
  <dcterms:modified xsi:type="dcterms:W3CDTF">2020-10-01T22:55:40Z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