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MEAMO Техническое задание программисту MODX</w:t>
      </w:r>
    </w:p>
    <w:p>
      <w:r>
        <w:t>Подготовлено 12 октября 2026 года. Документ передаётся владельцу на проверку. Дизайн согласован заказчиком; технические вопросы, отмеченные Q, ещё требуют решения. Это задание на следующий этап, а не разрешение менять действующий сайт сейчас.</w:t>
      </w:r>
    </w:p>
    <w:p>
      <w:pPr>
        <w:pStyle w:val="Heading1"/>
      </w:pPr>
      <w:r>
        <w:t>1 Результат и исходная система</w:t>
      </w:r>
    </w:p>
    <w:p>
      <w:r>
        <w:t>Прошу реализовать утверждённый B2B-сайт MEAMO в существующей CMS MODX. Основное действие — запрос условий, сведений или документов по продукции. Розничная корзина, цены, оплата онлайн, сравнение товаров и накопительный список оптового заказа не входят в объём.</w:t>
      </w:r>
    </w:p>
    <w:p>
      <w:r>
        <w:t>До реализации изучить фактическую установку: версию и ветку MODX, PHP и БД, дополнения и их версии, структуру ресурсов, шаблоны, чанки, TV-поля, snippets и обработчики, модель каталога, формы, адреса, интеграции, кэширование и текущие SEO-настройки. Зафиксировать, какие существующие механизмы сохраняются. Наличие miniShop2, mFilter2, FormIt, AjaxForm или другого пакета не предполагается. Не устанавливать дополнение только потому, что оно привычно исполнителю.</w:t>
      </w:r>
    </w:p>
    <w:p>
      <w:r>
        <w:t xml:space="preserve">Работать сначала на отдельном стенде после предоставления доступа и разрешения владельца. Подготовить резервную копию и проверяемый способ восстановления. Выбор технического хранения связей и обработчиков сделать по фактической системе, без смены CMS. Механизм шаблонов MODX описан в </w:t>
      </w:r>
      <w:hyperlink r:id="rId11">
        <w:r>
          <w:rPr>
            <w:color w:val="234E75"/>
          </w:rPr>
          <w:t>официальной документации</w:t>
        </w:r>
      </w:hyperlink>
      <w:r>
        <w:t>; ссылка не означает, что на MEAMO установлена версия 3.</w:t>
      </w:r>
    </w:p>
    <w:p>
      <w:r>
        <w:t>Внешний вид реализуется по отдельному ТЗ верстальщику. Здесь описаны данные, поведение, интеграция и проверка. Ответственность за UI-контролы и события согласовать один раз: верстальщик предоставляет доступную разметку и состояния, программист подключает их к данным и серверу.</w:t>
      </w:r>
    </w:p>
    <w:p>
      <w:pPr>
        <w:pStyle w:val="Heading1"/>
      </w:pPr>
      <w:r>
        <w:t>2 Макеты и источники требований</w:t>
      </w:r>
    </w:p>
    <w:p>
      <w:r/>
      <w:hyperlink r:id="rId12">
        <w:r>
          <w:rPr>
            <w:color w:val="234E75"/>
          </w:rPr>
          <w:t>Утверждённая Figma</w:t>
        </w:r>
      </w:hyperlink>
      <w:r>
        <w:t>: основные страницы Desktop 1440 и Mobile 375, UI Kit, «04 - Состояния и передача». Последние решения: Desktop-фильтр слева 288 px, справа выдача 960 px; Mobile — drawer; компактный Footer; секционная навигация товара; отдельные мобильные карточки без резерва трёх строк.</w:t>
      </w:r>
    </w:p>
    <w:p>
      <w:r>
        <w:t>Состояния Figma описывают ожидаемый интерфейс, а не готовую серверную логику. Старые служебные проверки, скрытые кнопки продолжения и исторические прототипные переходы не задают новое поведение. Реестр аннотаций фиксирует исправления и вопросы. При неразрешённом противоречии использовать вопрос из MEAMO_Открытые_вопросы.md, не выбирать бизнес-правило самостоятельно.</w:t>
      </w:r>
    </w:p>
    <w:p>
      <w:r>
        <w:t>11 типов шаблонов: главная, каталог, товар, Labs, бренд, сотрудничество, компания, контакты, экспертный центр, статья, 404. Точные ссылки на пары экранов и порядок блоков — в ТЗ верстальщику. Общие данные шапки, футера и карточек должны иметь единый источник.</w:t>
      </w:r>
    </w:p>
    <w:p>
      <w:pPr>
        <w:pStyle w:val="Heading1"/>
      </w:pPr>
      <w:r>
        <w:t>3 Сущности и управление данными</w:t>
      </w:r>
    </w:p>
    <w:p>
      <w:r>
        <w:t>Ниже — логическая модель. Это перечень необходимых данных и связей, а не предписание создать новую базу поверх существующей.</w:t>
      </w:r>
    </w:p>
    <w:tbl>
      <w:tblPr>
        <w:tblW w:type="auto" w:w="0"/>
        <w:jc w:val="center"/>
        <w:tblLayout w:type="fixed"/>
        <w:tblLook w:firstColumn="1" w:firstRow="1" w:lastColumn="0" w:lastRow="0" w:noHBand="0" w:noVBand="1" w:val="04A0"/>
      </w:tblPr>
      <w:tblGrid>
        <w:gridCol w:w="2494"/>
        <w:gridCol w:w="7143"/>
      </w:tblGrid>
      <w:tr>
        <w:trPr>
          <w:cantSplit/>
          <w:tblHeader/>
        </w:trPr>
        <w:tc>
          <w:tcPr>
            <w:tcW w:type="dxa" w:w="2494"/>
            <w:vAlign w:val="top"/>
            <w:tcMar>
              <w:top w:w="85" w:type="dxa"/>
              <w:left w:w="85" w:type="dxa"/>
              <w:bottom w:w="85" w:type="dxa"/>
              <w:right w:w="85" w:type="dxa"/>
            </w:tcMar>
            <w:shd w:fill="E7EDF3"/>
          </w:tcPr>
          <w:p>
            <w:pPr>
              <w:spacing w:after="60" w:before="40" w:line="252" w:lineRule="auto"/>
            </w:pPr>
            <w:r>
              <w:rPr>
                <w:rFonts w:ascii="Arial" w:hAnsi="Arial"/>
                <w:b/>
                <w:sz w:val="18"/>
              </w:rPr>
              <w:t>Сущность</w:t>
            </w:r>
          </w:p>
        </w:tc>
        <w:tc>
          <w:tcPr>
            <w:tcW w:type="dxa" w:w="7143"/>
            <w:vAlign w:val="top"/>
            <w:tcMar>
              <w:top w:w="85" w:type="dxa"/>
              <w:left w:w="85" w:type="dxa"/>
              <w:bottom w:w="85" w:type="dxa"/>
              <w:right w:w="85" w:type="dxa"/>
            </w:tcMar>
            <w:shd w:fill="E7EDF3"/>
          </w:tcPr>
          <w:p>
            <w:pPr>
              <w:spacing w:after="60" w:before="40" w:line="252" w:lineRule="auto"/>
            </w:pPr>
            <w:r>
              <w:rPr>
                <w:rFonts w:ascii="Arial" w:hAnsi="Arial"/>
                <w:b/>
                <w:sz w:val="18"/>
              </w:rPr>
              <w:t>Данные и связи</w:t>
            </w:r>
          </w:p>
        </w:tc>
      </w:tr>
      <w:tr>
        <w:trPr>
          <w:cantSplit/>
        </w:trPr>
        <w:tc>
          <w:tcPr>
            <w:tcW w:type="dxa" w:w="2494"/>
            <w:vAlign w:val="top"/>
            <w:tcMar>
              <w:top w:w="85" w:type="dxa"/>
              <w:left w:w="85" w:type="dxa"/>
              <w:bottom w:w="85" w:type="dxa"/>
              <w:right w:w="85" w:type="dxa"/>
            </w:tcMar>
            <w:shd w:fill="FFFFFF"/>
          </w:tcPr>
          <w:p>
            <w:pPr>
              <w:spacing w:after="60" w:before="40" w:line="252" w:lineRule="auto"/>
            </w:pPr>
            <w:r>
              <w:rPr>
                <w:rFonts w:ascii="Arial" w:hAnsi="Arial"/>
                <w:b w:val="0"/>
                <w:sz w:val="18"/>
              </w:rPr>
              <w:t>Товар</w:t>
            </w:r>
          </w:p>
        </w:tc>
        <w:tc>
          <w:tcPr>
            <w:tcW w:type="dxa" w:w="7143"/>
            <w:vAlign w:val="top"/>
            <w:tcMar>
              <w:top w:w="85" w:type="dxa"/>
              <w:left w:w="85" w:type="dxa"/>
              <w:bottom w:w="85" w:type="dxa"/>
              <w:right w:w="85" w:type="dxa"/>
            </w:tcMar>
            <w:shd w:fill="FFFFFF"/>
          </w:tcPr>
          <w:p>
            <w:pPr>
              <w:spacing w:after="60" w:before="40" w:line="252" w:lineRule="auto"/>
            </w:pPr>
            <w:r>
              <w:rPr>
                <w:rFonts w:ascii="Arial" w:hAnsi="Arial"/>
                <w:b w:val="0"/>
                <w:sz w:val="18"/>
              </w:rPr>
              <w:t>Стабильный ID, собственный URL, полное название, изображения, категории, бренд, линейка, описание, характеристики, материалы, связанные позиции; статус только из подтверждённого источника</w:t>
            </w:r>
          </w:p>
        </w:tc>
      </w:tr>
      <w:tr>
        <w:trPr>
          <w:cantSplit/>
        </w:trPr>
        <w:tc>
          <w:tcPr>
            <w:tcW w:type="dxa" w:w="2494"/>
            <w:vAlign w:val="top"/>
            <w:tcMar>
              <w:top w:w="85" w:type="dxa"/>
              <w:left w:w="85" w:type="dxa"/>
              <w:bottom w:w="85" w:type="dxa"/>
              <w:right w:w="85" w:type="dxa"/>
            </w:tcMar>
            <w:shd w:fill="F5F7F9"/>
          </w:tcPr>
          <w:p>
            <w:pPr>
              <w:spacing w:after="60" w:before="40" w:line="252" w:lineRule="auto"/>
            </w:pPr>
            <w:r>
              <w:rPr>
                <w:rFonts w:ascii="Arial" w:hAnsi="Arial"/>
                <w:b w:val="0"/>
                <w:sz w:val="18"/>
              </w:rPr>
              <w:t>Категория</w:t>
            </w:r>
          </w:p>
        </w:tc>
        <w:tc>
          <w:tcPr>
            <w:tcW w:type="dxa" w:w="7143"/>
            <w:vAlign w:val="top"/>
            <w:tcMar>
              <w:top w:w="85" w:type="dxa"/>
              <w:left w:w="85" w:type="dxa"/>
              <w:bottom w:w="85" w:type="dxa"/>
              <w:right w:w="85" w:type="dxa"/>
            </w:tcMar>
            <w:shd w:fill="F5F7F9"/>
          </w:tcPr>
          <w:p>
            <w:pPr>
              <w:spacing w:after="60" w:before="40" w:line="252" w:lineRule="auto"/>
            </w:pPr>
            <w:r>
              <w:rPr>
                <w:rFonts w:ascii="Arial" w:hAnsi="Arial"/>
                <w:b w:val="0"/>
                <w:sz w:val="18"/>
              </w:rPr>
              <w:t>Название, URL, изображение, описание, SEO-поля, связь с товарами и применимыми параметрами</w:t>
            </w:r>
          </w:p>
        </w:tc>
      </w:tr>
      <w:tr>
        <w:trPr>
          <w:cantSplit/>
        </w:trPr>
        <w:tc>
          <w:tcPr>
            <w:tcW w:type="dxa" w:w="2494"/>
            <w:vAlign w:val="top"/>
            <w:tcMar>
              <w:top w:w="85" w:type="dxa"/>
              <w:left w:w="85" w:type="dxa"/>
              <w:bottom w:w="85" w:type="dxa"/>
              <w:right w:w="85" w:type="dxa"/>
            </w:tcMar>
            <w:shd w:fill="FFFFFF"/>
          </w:tcPr>
          <w:p>
            <w:pPr>
              <w:spacing w:after="60" w:before="40" w:line="252" w:lineRule="auto"/>
            </w:pPr>
            <w:r>
              <w:rPr>
                <w:rFonts w:ascii="Arial" w:hAnsi="Arial"/>
                <w:b w:val="0"/>
                <w:sz w:val="18"/>
              </w:rPr>
              <w:t>Бренд и линейка</w:t>
            </w:r>
          </w:p>
        </w:tc>
        <w:tc>
          <w:tcPr>
            <w:tcW w:type="dxa" w:w="7143"/>
            <w:vAlign w:val="top"/>
            <w:tcMar>
              <w:top w:w="85" w:type="dxa"/>
              <w:left w:w="85" w:type="dxa"/>
              <w:bottom w:w="85" w:type="dxa"/>
              <w:right w:w="85" w:type="dxa"/>
            </w:tcMar>
            <w:shd w:fill="FFFFFF"/>
          </w:tcPr>
          <w:p>
            <w:pPr>
              <w:spacing w:after="60" w:before="40" w:line="252" w:lineRule="auto"/>
            </w:pPr>
            <w:r>
              <w:rPr>
                <w:rFonts w:ascii="Arial" w:hAnsi="Arial"/>
                <w:b w:val="0"/>
                <w:sz w:val="18"/>
              </w:rPr>
              <w:t>Раздельные справочники там, где это соответствует текущим данным; описания, визуалы, товары и материалы; бренд не равен производителю</w:t>
            </w:r>
          </w:p>
        </w:tc>
      </w:tr>
      <w:tr>
        <w:trPr>
          <w:cantSplit/>
        </w:trPr>
        <w:tc>
          <w:tcPr>
            <w:tcW w:type="dxa" w:w="2494"/>
            <w:vAlign w:val="top"/>
            <w:tcMar>
              <w:top w:w="85" w:type="dxa"/>
              <w:left w:w="85" w:type="dxa"/>
              <w:bottom w:w="85" w:type="dxa"/>
              <w:right w:w="85" w:type="dxa"/>
            </w:tcMar>
            <w:shd w:fill="F5F7F9"/>
          </w:tcPr>
          <w:p>
            <w:pPr>
              <w:spacing w:after="60" w:before="40" w:line="252" w:lineRule="auto"/>
            </w:pPr>
            <w:r>
              <w:rPr>
                <w:rFonts w:ascii="Arial" w:hAnsi="Arial"/>
                <w:b w:val="0"/>
                <w:sz w:val="18"/>
              </w:rPr>
              <w:t>SEO-посадочная</w:t>
            </w:r>
          </w:p>
        </w:tc>
        <w:tc>
          <w:tcPr>
            <w:tcW w:type="dxa" w:w="7143"/>
            <w:vAlign w:val="top"/>
            <w:tcMar>
              <w:top w:w="85" w:type="dxa"/>
              <w:left w:w="85" w:type="dxa"/>
              <w:bottom w:w="85" w:type="dxa"/>
              <w:right w:w="85" w:type="dxa"/>
            </w:tcMar>
            <w:shd w:fill="F5F7F9"/>
          </w:tcPr>
          <w:p>
            <w:pPr>
              <w:spacing w:after="60" w:before="40" w:line="252" w:lineRule="auto"/>
            </w:pPr>
            <w:r>
              <w:rPr>
                <w:rFonts w:ascii="Arial" w:hAnsi="Arial"/>
                <w:b w:val="0"/>
                <w:sz w:val="18"/>
              </w:rPr>
              <w:t>Самостоятельный ресурс с сохранённым URL, содержанием и фиксированной подборкой; не произвольная комбинация фильтров</w:t>
            </w:r>
          </w:p>
        </w:tc>
      </w:tr>
      <w:tr>
        <w:trPr>
          <w:cantSplit/>
        </w:trPr>
        <w:tc>
          <w:tcPr>
            <w:tcW w:type="dxa" w:w="2494"/>
            <w:vAlign w:val="top"/>
            <w:tcMar>
              <w:top w:w="85" w:type="dxa"/>
              <w:left w:w="85" w:type="dxa"/>
              <w:bottom w:w="85" w:type="dxa"/>
              <w:right w:w="85" w:type="dxa"/>
            </w:tcMar>
            <w:shd w:fill="FFFFFF"/>
          </w:tcPr>
          <w:p>
            <w:pPr>
              <w:spacing w:after="60" w:before="40" w:line="252" w:lineRule="auto"/>
            </w:pPr>
            <w:r>
              <w:rPr>
                <w:rFonts w:ascii="Arial" w:hAnsi="Arial"/>
                <w:b w:val="0"/>
                <w:sz w:val="18"/>
              </w:rPr>
              <w:t>Статья и тема</w:t>
            </w:r>
          </w:p>
        </w:tc>
        <w:tc>
          <w:tcPr>
            <w:tcW w:type="dxa" w:w="7143"/>
            <w:vAlign w:val="top"/>
            <w:tcMar>
              <w:top w:w="85" w:type="dxa"/>
              <w:left w:w="85" w:type="dxa"/>
              <w:bottom w:w="85" w:type="dxa"/>
              <w:right w:w="85" w:type="dxa"/>
            </w:tcMar>
            <w:shd w:fill="FFFFFF"/>
          </w:tcPr>
          <w:p>
            <w:pPr>
              <w:spacing w:after="60" w:before="40" w:line="252" w:lineRule="auto"/>
            </w:pPr>
            <w:r>
              <w:rPr>
                <w:rFonts w:ascii="Arial" w:hAnsi="Arial"/>
                <w:b w:val="0"/>
                <w:sz w:val="18"/>
              </w:rPr>
              <w:t>Заголовок, анонс, тело, обложка, тема, автор, даты, редакционные источники, связанные материалы/товары/разделы</w:t>
            </w:r>
          </w:p>
        </w:tc>
      </w:tr>
      <w:tr>
        <w:trPr>
          <w:cantSplit/>
        </w:trPr>
        <w:tc>
          <w:tcPr>
            <w:tcW w:type="dxa" w:w="2494"/>
            <w:vAlign w:val="top"/>
            <w:tcMar>
              <w:top w:w="85" w:type="dxa"/>
              <w:left w:w="85" w:type="dxa"/>
              <w:bottom w:w="85" w:type="dxa"/>
              <w:right w:w="85" w:type="dxa"/>
            </w:tcMar>
            <w:shd w:fill="F5F7F9"/>
          </w:tcPr>
          <w:p>
            <w:pPr>
              <w:spacing w:after="60" w:before="40" w:line="252" w:lineRule="auto"/>
            </w:pPr>
            <w:r>
              <w:rPr>
                <w:rFonts w:ascii="Arial" w:hAnsi="Arial"/>
                <w:b w:val="0"/>
                <w:sz w:val="18"/>
              </w:rPr>
              <w:t>Материал</w:t>
            </w:r>
          </w:p>
        </w:tc>
        <w:tc>
          <w:tcPr>
            <w:tcW w:type="dxa" w:w="7143"/>
            <w:vAlign w:val="top"/>
            <w:tcMar>
              <w:top w:w="85" w:type="dxa"/>
              <w:left w:w="85" w:type="dxa"/>
              <w:bottom w:w="85" w:type="dxa"/>
              <w:right w:w="85" w:type="dxa"/>
            </w:tcMar>
            <w:shd w:fill="F5F7F9"/>
          </w:tcPr>
          <w:p>
            <w:pPr>
              <w:spacing w:after="60" w:before="40" w:line="252" w:lineRule="auto"/>
            </w:pPr>
            <w:r>
              <w:rPr>
                <w:rFonts w:ascii="Arial" w:hAnsi="Arial"/>
                <w:b w:val="0"/>
                <w:sz w:val="18"/>
              </w:rPr>
              <w:t>Реальный файл или ссылка, название, тип, язык и версия при наличии, область применимости: товар или линейка; отсутствие файла означает запрос, а не пустую загрузку</w:t>
            </w:r>
          </w:p>
        </w:tc>
      </w:tr>
      <w:tr>
        <w:trPr>
          <w:cantSplit/>
        </w:trPr>
        <w:tc>
          <w:tcPr>
            <w:tcW w:type="dxa" w:w="2494"/>
            <w:vAlign w:val="top"/>
            <w:tcMar>
              <w:top w:w="85" w:type="dxa"/>
              <w:left w:w="85" w:type="dxa"/>
              <w:bottom w:w="85" w:type="dxa"/>
              <w:right w:w="85" w:type="dxa"/>
            </w:tcMar>
            <w:shd w:fill="FFFFFF"/>
          </w:tcPr>
          <w:p>
            <w:pPr>
              <w:spacing w:after="60" w:before="40" w:line="252" w:lineRule="auto"/>
            </w:pPr>
            <w:r>
              <w:rPr>
                <w:rFonts w:ascii="Arial" w:hAnsi="Arial"/>
                <w:b w:val="0"/>
                <w:sz w:val="18"/>
              </w:rPr>
              <w:t>Информационная страница</w:t>
            </w:r>
          </w:p>
        </w:tc>
        <w:tc>
          <w:tcPr>
            <w:tcW w:type="dxa" w:w="7143"/>
            <w:vAlign w:val="top"/>
            <w:tcMar>
              <w:top w:w="85" w:type="dxa"/>
              <w:left w:w="85" w:type="dxa"/>
              <w:bottom w:w="85" w:type="dxa"/>
              <w:right w:w="85" w:type="dxa"/>
            </w:tcMar>
            <w:shd w:fill="FFFFFF"/>
          </w:tcPr>
          <w:p>
            <w:pPr>
              <w:spacing w:after="60" w:before="40" w:line="252" w:lineRule="auto"/>
            </w:pPr>
            <w:r>
              <w:rPr>
                <w:rFonts w:ascii="Arial" w:hAnsi="Arial"/>
                <w:b w:val="0"/>
                <w:sz w:val="18"/>
              </w:rPr>
              <w:t>Текст и блоки принятого шаблона, медиа, SEO-поля; контакты и юридические ссылки из утверждённого источника</w:t>
            </w:r>
          </w:p>
        </w:tc>
      </w:tr>
      <w:tr>
        <w:trPr>
          <w:cantSplit/>
        </w:trPr>
        <w:tc>
          <w:tcPr>
            <w:tcW w:type="dxa" w:w="2494"/>
            <w:vAlign w:val="top"/>
            <w:tcMar>
              <w:top w:w="85" w:type="dxa"/>
              <w:left w:w="85" w:type="dxa"/>
              <w:bottom w:w="85" w:type="dxa"/>
              <w:right w:w="85" w:type="dxa"/>
            </w:tcMar>
            <w:shd w:fill="F5F7F9"/>
          </w:tcPr>
          <w:p>
            <w:pPr>
              <w:spacing w:after="60" w:before="40" w:line="252" w:lineRule="auto"/>
            </w:pPr>
            <w:r>
              <w:rPr>
                <w:rFonts w:ascii="Arial" w:hAnsi="Arial"/>
                <w:b w:val="0"/>
                <w:sz w:val="18"/>
              </w:rPr>
              <w:t>Слайд и FAQ</w:t>
            </w:r>
          </w:p>
        </w:tc>
        <w:tc>
          <w:tcPr>
            <w:tcW w:type="dxa" w:w="7143"/>
            <w:vAlign w:val="top"/>
            <w:tcMar>
              <w:top w:w="85" w:type="dxa"/>
              <w:left w:w="85" w:type="dxa"/>
              <w:bottom w:w="85" w:type="dxa"/>
              <w:right w:w="85" w:type="dxa"/>
            </w:tcMar>
            <w:shd w:fill="F5F7F9"/>
          </w:tcPr>
          <w:p>
            <w:pPr>
              <w:spacing w:after="60" w:before="40" w:line="252" w:lineRule="auto"/>
            </w:pPr>
            <w:r>
              <w:rPr>
                <w:rFonts w:ascii="Arial" w:hAnsi="Arial"/>
                <w:b w:val="0"/>
                <w:sz w:val="18"/>
              </w:rPr>
              <w:t>Порядок, контент, изображения, назначения CTA; вопрос и ответ, принадлежность странице</w:t>
            </w:r>
          </w:p>
        </w:tc>
      </w:tr>
    </w:tbl>
    <w:p>
      <w:pPr>
        <w:spacing w:after="0"/>
      </w:pPr>
    </w:p>
    <w:p>
      <w:r>
        <w:t>Не хранить название бренда только в скрытой строке карточки. Оно необходимо для поиска и данных товара, хотя дублирующий Brand не выводится в текущем компоненте. Связь продукта с Labs не определяется по внешнему виду упаковки. Подборки и связанные товары должны использовать явные связи, не догадки о медицинском назначении.</w:t>
      </w:r>
    </w:p>
    <w:p>
      <w:r>
        <w:t>Контент-менеджеру нужны доступные поля для товаров, категорий, изображений, описаний, характеристик, документов, брендов, линейки, статей и источников, баннеров/слайдов, FAQ и информационных текстов. Справочники применимых фильтров редактируются в пределах согласованной модели. Добавление нового типа фильтра, изменение маршрутов, серверной валидации, SEO-правил и интеграций — работа разработчика. Для каждого поля дать понятную подпись и краткую инструкцию; не требовать править HTML шаблона ради обычного текста.</w:t>
      </w:r>
    </w:p>
    <w:p>
      <w:pPr>
        <w:pStyle w:val="Heading1"/>
      </w:pPr>
      <w:r>
        <w:t>4 Каталог и поиск</w:t>
      </w:r>
    </w:p>
    <w:p>
      <w:pPr>
        <w:pStyle w:val="Heading2"/>
      </w:pPr>
      <w:r>
        <w:t>4 1 Категории и посадочные</w:t>
      </w:r>
    </w:p>
    <w:p>
      <w:r>
        <w:t>Категории и бренды открывают свои существующие страницы. SEO-посадочные ссылки, в том числе Meditoxin / Nabota / Botulax, используют отдельные адреса из принятой карты. Фильтр меняет набор товаров текущего каталога; он не создаёт новый контентный ресурс при каждом выборе.</w:t>
      </w:r>
    </w:p>
    <w:p>
      <w:r/>
      <w:hyperlink r:id="rId13">
        <w:r>
          <w:rPr>
            <w:color w:val="234E75"/>
          </w:rPr>
          <w:t>Карта 53 входов</w:t>
        </w:r>
      </w:hyperlink>
      <w:r>
        <w:t xml:space="preserve"> перенесена в лист «Карта URL» реестра аннотаций. Это сохранённые адреса проекта, не результат текущего обхода сайта. До разработки сопоставить их с ресурсами MODX и действующими адресами. Не удалять страницу из-за скрытия старого UI «Все категории и бренды». URL Экспертного центра пока не определён.</w:t>
      </w:r>
    </w:p>
    <w:p>
      <w:pPr>
        <w:pStyle w:val="Heading2"/>
      </w:pPr>
      <w:r>
        <w:t>4 2 Поиск из шапки</w:t>
      </w:r>
    </w:p>
    <w:p>
      <w:r>
        <w:t>Единый поиск работает по названию товара и бренда в каталоге. Поиск статей и всего сайта не заказывать. Сохранить назначение существующего поиска; поддерживаемую нормализацию и алгоритм сначала установить на текущей системе. Новые подсказки, автодополнение и подбор аналогов не входят в объём.</w:t>
      </w:r>
    </w:p>
    <w:p>
      <w:r>
        <w:t>При отправке запроса показать каталог результатов и введённую строку. При поиске из текущего каталога сохранить применённые фильтры и начать с первой страницы; из другой страницы открыть результаты каталога без неявных фильтров. Не переносить старую поисковую форму обратно в панель фильтров. Пустая строка не создаёт ошибку; поведение должно соответствовать сбросу запроса в пределах текущей выдачи. Точный формат технических параметров URL выбирается при интеграции, без изменения пользовательского сценария.</w:t>
      </w:r>
    </w:p>
    <w:p>
      <w:pPr>
        <w:pStyle w:val="Heading2"/>
      </w:pPr>
      <w:r>
        <w:t>4 3 Фильтрация и выбранные значения</w:t>
      </w:r>
    </w:p>
    <w:p>
      <w:r>
        <w:t>Desktop: группы в левой колонке, изменения обновляют выдачу. Внутри одной группы подходят товары с любым выбранным значением; между разными группами условия применяются совместно. Например, два выбранных бренда расширяют выбор брендов, а категория дополнительно ограничивает его. Это правило зафиксировано в актуальном пояснении 373:4511.</w:t>
      </w:r>
    </w:p>
    <w:p>
      <w:r>
        <w:t>Mobile: кнопка открывает отдельную панель. Внутри пользователь выбирает значения и нажимает «Применить». Прокручивается список; действия и закрытие остаются доступны. Отмена неподтверждённых изменений при закрытии панели не описана однозначно — решить Q07 до подключения логики закрытия. Не выдавать состояние выбранного checkbox за реальную фильтрацию базы.</w:t>
      </w:r>
    </w:p>
    <w:p>
      <w:r>
        <w:t>Чипы показывают применённые значения. Крестик удаляет одно значение, сохраняя остальные. «Сбросить» очищает фильтры, сохраняя строку поиска. Изменение условий возвращает первую страницу. Раскрытие группы само по себе не меняет выдачу. Число найденных товаров рассчитывается для полного отфильтрованного набора, а не только видимой страницы.</w:t>
      </w:r>
    </w:p>
    <w:p>
      <w:r>
        <w:t>Окончательные параметры и значения зависят от заказчика. [TEMP] не является значением для базы. Не добавлять публичные цены, диапазон цен, медицинские свойства и динамическую новую систему применимости из будущей рекомендации R10. Реализовать согласованный перечень по подтверждённым данным.</w:t>
      </w:r>
    </w:p>
    <w:p>
      <w:pPr>
        <w:pStyle w:val="Heading2"/>
      </w:pPr>
      <w:r>
        <w:t>4 4 Сортировка и два вида</w:t>
      </w:r>
    </w:p>
    <w:p>
      <w:r>
        <w:t>Состав сортировки сохраняется: «По умолчанию» — порядок CMS; «По названию А–Я»; «По названию Я–А». Учесть язык и естественный порядок чисел. Для одинаковых названий порядок должен быть устойчивым при переходе между страницами. Смена сортировки сохраняет поиск/фильтры, возвращает первую страницу. Не добавлять сортировку по цене или популярности.</w:t>
      </w:r>
    </w:p>
    <w:p>
      <w:r>
        <w:t>Grid и List — два представления одного результата. Переключение сохраняет запрос, фильтры, сортировку и номер страницы. Не получать для List другой набор товаров и не добавлять новые фактические поля. Desktop-контрол сортировки находится над выдачей рядом со счётчиком и переключателем.</w:t>
      </w:r>
    </w:p>
    <w:p>
      <w:pPr>
        <w:pStyle w:val="Heading2"/>
      </w:pPr>
      <w:r>
        <w:t>4 5 Пагинация и пустая выдача</w:t>
      </w:r>
    </w:p>
    <w:p>
      <w:r>
        <w:t>Номер страницы открывает соответствующую часть выдачи, заменяя предыдущую. Это не «Показать ещё». Первая/последняя страницы имеют недоступные соответствующие направления. «Показано 8 из 10» не выводится; общий счётчик остаётся. Число страниц, размер страницы и примеры в Figma не являются фактическим размером ассортимента. Размер страницы и поведение недопустимого номера зафиксировать в техническом контракте после изучения текущего каталога; согласовать Q09.</w:t>
      </w:r>
    </w:p>
    <w:p>
      <w:r>
        <w:t>При отсутствии результатов показать состояние пустой выдачи и доступ к изменению условий/сбросу. Не удалять введённый запрос и выбранные значения. При ошибке получения данных показывать ошибку с повтором, а не «товары не найдены». Повтор не должен дублировать карточки.</w:t>
      </w:r>
    </w:p>
    <w:p>
      <w:pPr>
        <w:pStyle w:val="Heading2"/>
      </w:pPr>
      <w:r>
        <w:t>4 6 Адрес и возврат к результатам</w:t>
      </w:r>
    </w:p>
    <w:p>
      <w:r>
        <w:t>Состояние каталога должно восстанавливаться при обновлении страницы и по скопированной ссылке. Сохранить в URL запрос, применённые фильтры, сортировку, номер страницы и вид выдачи либо эквивалентный явный параметр вида. Не помещать персональные данные формы в адрес. Набор имён параметров согласовать с существующими маршрутами MODX и SEO-правилами; не объявлять демонстрационный URL утверждённым.</w:t>
      </w:r>
    </w:p>
    <w:p>
      <w:r>
        <w:t>«Назад» из товара возвращает к тем же результатам и выбранному виду, по возможности к прежней позиции прокрутки. При прямом входе на товар без истории ссылка на каталог работает самостоятельно. History API, кэш и серверная выдача должны согласованно обрабатывать Back/Forward. Не записывать пустые промежуточные состояния во время каждого раскрытия группы.</w:t>
      </w:r>
    </w:p>
    <w:p>
      <w:r>
        <w:t>Проверка: каталог → категория и бренд → применение → List → страница 2 → товар → назад → обновление → открытие ссылки в новом окне. Параметры и набор результатов совпадают; количество не меняется только из-за смены вида.</w:t>
      </w:r>
    </w:p>
    <w:p>
      <w:pPr>
        <w:pStyle w:val="Heading1"/>
      </w:pPr>
      <w:r>
        <w:t>5 Товар и связанные материалы</w:t>
      </w:r>
    </w:p>
    <w:p>
      <w:r>
        <w:t>Каждая карточка открывает собственный товарный URL; шаблон Fine в Figma нельзя назначать всем товарам. Полное название, бренд/линейка, категория, характеристики, описание и изображения берутся из связанных данных MODX. Юридический производитель — отдельный факт, не автоматически название бренда. Статусы «В наличии», «Ограниченно», «Под заказ» в макетах являются демонстрационными; источник обновления статусов подтвердить до публикации.</w:t>
      </w:r>
    </w:p>
    <w:p>
      <w:r>
        <w:t>Описание, характеристики и материалы остаются секциями одной страницы. Локальные ссылки прокручивают к разделу с учётом шапки, не скрывают другие секции и не меняют товар. Выделение текущего раздела соответствует фактическому положению. Закрепление этой навигации уточняется по Q06. Sticky CTA не добавлять.</w:t>
      </w:r>
    </w:p>
    <w:p>
      <w:r>
        <w:t>Для каждого документа хранить область применимости. HA-брошюра — материал линейки; Exo-брошюра — другой продукт. Они не становятся инструкцией Fine из-за соседства на странице. Реальные файлы и ссылки сохраняются, но перед публикацией проверяются на доступность, актуальность и язык. Если нужного документа нет, действие открывает запрос с товаром и типом материала, а не фиктивную download-ссылку.</w:t>
      </w:r>
    </w:p>
    <w:p>
      <w:r>
        <w:t>Запрос условий передаёт стабильный ID, название, URL товара и тип обращения. Пользователь видит контекст; сервер сверяет ID с каталогом и формирует доверенные сведения сам, а не принимает подменённое название за факт. На товаре/Labs/бренде/главной используется показанная компактная форма; из каталога и статьи — форма сотрудничества с контекстом товара. Документный запрос не должен терять название выбранной позиции.</w:t>
      </w:r>
    </w:p>
    <w:p>
      <w:r>
        <w:t>Связанные товары исключают текущую позицию. Подборки редактируются по принятой связи, без автоматически придуманных медицинских аналогов. Все отсутствующие характеристики Fine остаются материалами заказчика; сведения Exo в Fine не копируются.</w:t>
      </w:r>
    </w:p>
    <w:p>
      <w:pPr>
        <w:pStyle w:val="Heading1"/>
      </w:pPr>
      <w:r>
        <w:t>6 Формы и обработка запросов</w:t>
      </w:r>
    </w:p>
    <w:p>
      <w:pPr>
        <w:pStyle w:val="Heading2"/>
      </w:pPr>
      <w:r>
        <w:t>6 1 Формы в макете</w:t>
      </w:r>
    </w:p>
    <w:tbl>
      <w:tblPr>
        <w:tblW w:type="auto" w:w="0"/>
        <w:jc w:val="center"/>
        <w:tblLayout w:type="fixed"/>
        <w:tblLook w:firstColumn="1" w:firstRow="1" w:lastColumn="0" w:lastRow="0" w:noHBand="0" w:noVBand="1" w:val="04A0"/>
      </w:tblPr>
      <w:tblGrid>
        <w:gridCol w:w="1757"/>
        <w:gridCol w:w="2608"/>
        <w:gridCol w:w="5272"/>
      </w:tblGrid>
      <w:tr>
        <w:trPr>
          <w:cantSplit/>
          <w:tblHeader/>
        </w:trPr>
        <w:tc>
          <w:tcPr>
            <w:tcW w:type="dxa" w:w="1757"/>
            <w:vAlign w:val="top"/>
            <w:tcMar>
              <w:top w:w="85" w:type="dxa"/>
              <w:left w:w="85" w:type="dxa"/>
              <w:bottom w:w="85" w:type="dxa"/>
              <w:right w:w="85" w:type="dxa"/>
            </w:tcMar>
            <w:shd w:fill="E7EDF3"/>
          </w:tcPr>
          <w:p>
            <w:pPr>
              <w:spacing w:after="60" w:before="40" w:line="252" w:lineRule="auto"/>
            </w:pPr>
            <w:r>
              <w:rPr>
                <w:rFonts w:ascii="Arial" w:hAnsi="Arial"/>
                <w:b/>
                <w:sz w:val="18"/>
              </w:rPr>
              <w:t>Форма</w:t>
            </w:r>
          </w:p>
        </w:tc>
        <w:tc>
          <w:tcPr>
            <w:tcW w:type="dxa" w:w="2608"/>
            <w:vAlign w:val="top"/>
            <w:tcMar>
              <w:top w:w="85" w:type="dxa"/>
              <w:left w:w="85" w:type="dxa"/>
              <w:bottom w:w="85" w:type="dxa"/>
              <w:right w:w="85" w:type="dxa"/>
            </w:tcMar>
            <w:shd w:fill="E7EDF3"/>
          </w:tcPr>
          <w:p>
            <w:pPr>
              <w:spacing w:after="60" w:before="40" w:line="252" w:lineRule="auto"/>
            </w:pPr>
            <w:r>
              <w:rPr>
                <w:rFonts w:ascii="Arial" w:hAnsi="Arial"/>
                <w:b/>
                <w:sz w:val="18"/>
              </w:rPr>
              <w:t>Где находится</w:t>
            </w:r>
          </w:p>
        </w:tc>
        <w:tc>
          <w:tcPr>
            <w:tcW w:type="dxa" w:w="5272"/>
            <w:vAlign w:val="top"/>
            <w:tcMar>
              <w:top w:w="85" w:type="dxa"/>
              <w:left w:w="85" w:type="dxa"/>
              <w:bottom w:w="85" w:type="dxa"/>
              <w:right w:w="85" w:type="dxa"/>
            </w:tcMar>
            <w:shd w:fill="E7EDF3"/>
          </w:tcPr>
          <w:p>
            <w:pPr>
              <w:spacing w:after="60" w:before="40" w:line="252" w:lineRule="auto"/>
            </w:pPr>
            <w:r>
              <w:rPr>
                <w:rFonts w:ascii="Arial" w:hAnsi="Arial"/>
                <w:b/>
                <w:sz w:val="18"/>
              </w:rPr>
              <w:t>Видимые поля</w:t>
            </w:r>
          </w:p>
        </w:tc>
      </w:tr>
      <w:tr>
        <w:trPr>
          <w:cantSplit/>
        </w:trPr>
        <w:tc>
          <w:tcPr>
            <w:tcW w:type="dxa" w:w="1757"/>
            <w:vAlign w:val="top"/>
            <w:tcMar>
              <w:top w:w="85" w:type="dxa"/>
              <w:left w:w="85" w:type="dxa"/>
              <w:bottom w:w="85" w:type="dxa"/>
              <w:right w:w="85" w:type="dxa"/>
            </w:tcMar>
            <w:shd w:fill="FFFFFF"/>
          </w:tcPr>
          <w:p>
            <w:pPr>
              <w:spacing w:after="60" w:before="40" w:line="252" w:lineRule="auto"/>
            </w:pPr>
            <w:r>
              <w:rPr>
                <w:rFonts w:ascii="Arial" w:hAnsi="Arial"/>
                <w:b w:val="0"/>
                <w:sz w:val="18"/>
              </w:rPr>
              <w:t>Компактная</w:t>
            </w:r>
          </w:p>
        </w:tc>
        <w:tc>
          <w:tcPr>
            <w:tcW w:type="dxa" w:w="2608"/>
            <w:vAlign w:val="top"/>
            <w:tcMar>
              <w:top w:w="85" w:type="dxa"/>
              <w:left w:w="85" w:type="dxa"/>
              <w:bottom w:w="85" w:type="dxa"/>
              <w:right w:w="85" w:type="dxa"/>
            </w:tcMar>
            <w:shd w:fill="FFFFFF"/>
          </w:tcPr>
          <w:p>
            <w:pPr>
              <w:spacing w:after="60" w:before="40" w:line="252" w:lineRule="auto"/>
            </w:pPr>
            <w:r>
              <w:rPr>
                <w:rFonts w:ascii="Arial" w:hAnsi="Arial"/>
                <w:b w:val="0"/>
                <w:sz w:val="18"/>
              </w:rPr>
              <w:t>Главная, товар, Labs, бренд</w:t>
            </w:r>
          </w:p>
        </w:tc>
        <w:tc>
          <w:tcPr>
            <w:tcW w:type="dxa" w:w="5272"/>
            <w:vAlign w:val="top"/>
            <w:tcMar>
              <w:top w:w="85" w:type="dxa"/>
              <w:left w:w="85" w:type="dxa"/>
              <w:bottom w:w="85" w:type="dxa"/>
              <w:right w:w="85" w:type="dxa"/>
            </w:tcMar>
            <w:shd w:fill="FFFFFF"/>
          </w:tcPr>
          <w:p>
            <w:pPr>
              <w:spacing w:after="60" w:before="40" w:line="252" w:lineRule="auto"/>
            </w:pPr>
            <w:r>
              <w:rPr>
                <w:rFonts w:ascii="Arial" w:hAnsi="Arial"/>
                <w:b w:val="0"/>
                <w:sz w:val="18"/>
              </w:rPr>
              <w:t>Имя; единое поле email или телефон; количество и комментарий; вложение; согласие; контекст выбранной продукции</w:t>
            </w:r>
          </w:p>
        </w:tc>
      </w:tr>
      <w:tr>
        <w:trPr>
          <w:cantSplit/>
        </w:trPr>
        <w:tc>
          <w:tcPr>
            <w:tcW w:type="dxa" w:w="1757"/>
            <w:vAlign w:val="top"/>
            <w:tcMar>
              <w:top w:w="85" w:type="dxa"/>
              <w:left w:w="85" w:type="dxa"/>
              <w:bottom w:w="85" w:type="dxa"/>
              <w:right w:w="85" w:type="dxa"/>
            </w:tcMar>
            <w:shd w:fill="F5F7F9"/>
          </w:tcPr>
          <w:p>
            <w:pPr>
              <w:spacing w:after="60" w:before="40" w:line="252" w:lineRule="auto"/>
            </w:pPr>
            <w:r>
              <w:rPr>
                <w:rFonts w:ascii="Arial" w:hAnsi="Arial"/>
                <w:b w:val="0"/>
                <w:sz w:val="18"/>
              </w:rPr>
              <w:t>Полная</w:t>
            </w:r>
          </w:p>
        </w:tc>
        <w:tc>
          <w:tcPr>
            <w:tcW w:type="dxa" w:w="2608"/>
            <w:vAlign w:val="top"/>
            <w:tcMar>
              <w:top w:w="85" w:type="dxa"/>
              <w:left w:w="85" w:type="dxa"/>
              <w:bottom w:w="85" w:type="dxa"/>
              <w:right w:w="85" w:type="dxa"/>
            </w:tcMar>
            <w:shd w:fill="F5F7F9"/>
          </w:tcPr>
          <w:p>
            <w:pPr>
              <w:spacing w:after="60" w:before="40" w:line="252" w:lineRule="auto"/>
            </w:pPr>
            <w:r>
              <w:rPr>
                <w:rFonts w:ascii="Arial" w:hAnsi="Arial"/>
                <w:b w:val="0"/>
                <w:sz w:val="18"/>
              </w:rPr>
              <w:t>Сотрудничество и контакты</w:t>
            </w:r>
          </w:p>
        </w:tc>
        <w:tc>
          <w:tcPr>
            <w:tcW w:type="dxa" w:w="5272"/>
            <w:vAlign w:val="top"/>
            <w:tcMar>
              <w:top w:w="85" w:type="dxa"/>
              <w:left w:w="85" w:type="dxa"/>
              <w:bottom w:w="85" w:type="dxa"/>
              <w:right w:w="85" w:type="dxa"/>
            </w:tcMar>
            <w:shd w:fill="F5F7F9"/>
          </w:tcPr>
          <w:p>
            <w:pPr>
              <w:spacing w:after="60" w:before="40" w:line="252" w:lineRule="auto"/>
            </w:pPr>
            <w:r>
              <w:rPr>
                <w:rFonts w:ascii="Arial" w:hAnsi="Arial"/>
                <w:b w:val="0"/>
                <w:sz w:val="18"/>
              </w:rPr>
              <w:t>Имя, email, телефон; компания, страна/город, список продукции; комментарий; вложение; согласие</w:t>
            </w:r>
          </w:p>
        </w:tc>
      </w:tr>
      <w:tr>
        <w:trPr>
          <w:cantSplit/>
        </w:trPr>
        <w:tc>
          <w:tcPr>
            <w:tcW w:type="dxa" w:w="1757"/>
            <w:vAlign w:val="top"/>
            <w:tcMar>
              <w:top w:w="85" w:type="dxa"/>
              <w:left w:w="85" w:type="dxa"/>
              <w:bottom w:w="85" w:type="dxa"/>
              <w:right w:w="85" w:type="dxa"/>
            </w:tcMar>
            <w:shd w:fill="FFFFFF"/>
          </w:tcPr>
          <w:p>
            <w:pPr>
              <w:spacing w:after="60" w:before="40" w:line="252" w:lineRule="auto"/>
            </w:pPr>
            <w:r>
              <w:rPr>
                <w:rFonts w:ascii="Arial" w:hAnsi="Arial"/>
                <w:b w:val="0"/>
                <w:sz w:val="18"/>
              </w:rPr>
              <w:t>Запрос документов или другого товара</w:t>
            </w:r>
          </w:p>
        </w:tc>
        <w:tc>
          <w:tcPr>
            <w:tcW w:type="dxa" w:w="2608"/>
            <w:vAlign w:val="top"/>
            <w:tcMar>
              <w:top w:w="85" w:type="dxa"/>
              <w:left w:w="85" w:type="dxa"/>
              <w:bottom w:w="85" w:type="dxa"/>
              <w:right w:w="85" w:type="dxa"/>
            </w:tcMar>
            <w:shd w:fill="FFFFFF"/>
          </w:tcPr>
          <w:p>
            <w:pPr>
              <w:spacing w:after="60" w:before="40" w:line="252" w:lineRule="auto"/>
            </w:pPr>
            <w:r>
              <w:rPr>
                <w:rFonts w:ascii="Arial" w:hAnsi="Arial"/>
                <w:b w:val="0"/>
                <w:sz w:val="18"/>
              </w:rPr>
              <w:t>Действия товарного контекста и блока доверия</w:t>
            </w:r>
          </w:p>
        </w:tc>
        <w:tc>
          <w:tcPr>
            <w:tcW w:type="dxa" w:w="5272"/>
            <w:vAlign w:val="top"/>
            <w:tcMar>
              <w:top w:w="85" w:type="dxa"/>
              <w:left w:w="85" w:type="dxa"/>
              <w:bottom w:w="85" w:type="dxa"/>
              <w:right w:w="85" w:type="dxa"/>
            </w:tcMar>
            <w:shd w:fill="FFFFFF"/>
          </w:tcPr>
          <w:p>
            <w:pPr>
              <w:spacing w:after="60" w:before="40" w:line="252" w:lineRule="auto"/>
            </w:pPr>
            <w:r>
              <w:rPr>
                <w:rFonts w:ascii="Arial" w:hAnsi="Arial"/>
                <w:b w:val="0"/>
                <w:sz w:val="18"/>
              </w:rPr>
              <w:t>Использует существующий сценарий обращения, добавляя товар/материал или известное название/фото; отдельная новая анкета не требуется</w:t>
            </w:r>
          </w:p>
        </w:tc>
      </w:tr>
    </w:tbl>
    <w:p>
      <w:pPr>
        <w:spacing w:after="0"/>
      </w:pPr>
    </w:p>
    <w:p>
      <w:r>
        <w:t>В макете предложены имя + один контакт + согласие как обязательные, остальные сведения — по желанию. Для файла показано предложение: один файл до 10 МБ, PDF/XLSX/XLS/CSV/JPG/JPEG/PNG. Эти параметры не подтверждены как серверные бизнес-правила: в описаниях компонентов и пояснениях есть историческое противоречие. Прошу получить ответы Q01–Q03 и зафиксировать одну конфигурацию. Дизайн формы и её визуальные группы не менять в ожидании ответа.</w:t>
      </w:r>
    </w:p>
    <w:p>
      <w:pPr>
        <w:pStyle w:val="Heading2"/>
      </w:pPr>
      <w:r>
        <w:t>6 2 Отправка и ошибки</w:t>
      </w:r>
    </w:p>
    <w:p>
      <w:r>
        <w:t>Форма передаёт введённые поля, проверенный контекст товара/материала, страницу-источник, тип обращения, подтверждение применимого согласия и вложение при наличии. Метаданные согласия и срок хранения определяются после юридического подтверждения; не собирать лишние данные «на всякий случай».</w:t>
      </w:r>
    </w:p>
    <w:p>
      <w:r>
        <w:t>Сначала изучить текущий обработчик. Серверная отправка выполняется через согласованный канал; получатели, отправитель, уведомления пользователю и порядок хранения заявок — Q04. До решения нельзя считать email из примера реальным адресом получателя. CRM, рассылка и автоматическое коммерческое предложение не добавляются.</w:t>
      </w:r>
    </w:p>
    <w:p>
      <w:r>
        <w:t>На клиенте показать ошибки заполнения для удобства, на сервере повторить все проверки. Нормализация телефона должна поддерживать международный код, не ограничиваться +7; окончательное правило валидности включить в Q01. HTML и управляющие символы обрабатываются безопасно. Сервер возвращает различимый результат: ошибки полей, временная ошибка, успешное принятие. Успех показывается только после подтверждения сервера, без обещания срока ответа менеджера.</w:t>
      </w:r>
    </w:p>
    <w:p>
      <w:r>
        <w:t>На время отправки блокировать повторное нажатие; предусмотреть защиту от дублирования при повторе запроса. При ошибке сохранить значения и доступное выбранное вложение. Если браузер не позволяет восстановить файл после перезагрузки, ясно попросить выбрать его снова; не писать «файл сохранён», если его нет. Повтор после сбоя не очищает форму. Валидация не должна считать сетевую ошибку ошибкой пользователя.</w:t>
      </w:r>
    </w:p>
    <w:p>
      <w:pPr>
        <w:pStyle w:val="Heading2"/>
      </w:pPr>
      <w:r>
        <w:t>6 3 Файлы и защита</w:t>
      </w:r>
    </w:p>
    <w:p>
      <w:r>
        <w:t>После утверждения Q02 проверять количество, размер, допустимое расширение и фактический тип содержимого. Имя файла очищать, внутреннее имя формировать безопасно; не доверять только MIME из браузера. Хранить загрузки без возможности исполнения, с ограничением доступа; не выдавать список чужих вложений. Запретить traversal-пути, двойные расширения и обход размерного лимита. Проверить доступность безопасной проверки содержимого/антивируса и согласовать способ с окружением.</w:t>
      </w:r>
    </w:p>
    <w:p>
      <w:r>
        <w:t xml:space="preserve">Применить защиту форм от спама и подделки запросов с учётом текущей архитектуры: серверные ограничения частоты, проверка происхождения/CSRF там, где применимо, контроль повторов. Не вводить новый видимый CAPTCHA без необходимости и отдельного решения об интерфейсе. Подход к загрузкам опирается на </w:t>
      </w:r>
      <w:hyperlink r:id="rId14">
        <w:r>
          <w:rPr>
            <w:color w:val="234E75"/>
          </w:rPr>
          <w:t>рекомендации OWASP</w:t>
        </w:r>
      </w:hyperlink>
      <w:r>
        <w:t>.</w:t>
      </w:r>
    </w:p>
    <w:p>
      <w:r>
        <w:t>Проверка: пустые обязательные поля; один корректный контакт; неверный email/телефон; отсутствие согласия; файл неподходящего типа/размера; замена и удаление вложения; двойной клик; сбой сети; ошибка сервера; успешная заявка с правильным товаром у согласованного получателя. Тесты с отправкой проводить на стенде и тестовых получателях.</w:t>
      </w:r>
    </w:p>
    <w:p>
      <w:pPr>
        <w:pStyle w:val="Heading1"/>
      </w:pPr>
      <w:r>
        <w:t>7 Остальные функции</w:t>
      </w:r>
    </w:p>
    <w:p>
      <w:r>
        <w:t>Слайдер главной: стрелки переключают соседний слайд по кругу, номер выбирает слайд, активный номер выделяется. На телефоне допустим горизонтальный жест. Автопрокрутка не заказана. Слайды 2/3 заполняются материалами заказчика; при замене текста высота не скачет и содержимое не обрезается.</w:t>
      </w:r>
    </w:p>
    <w:p>
      <w:r>
        <w:t>FAQ открывается и закрывается пользователем. Один открытый ответ в Figma показывает состояние. Начальное раскрытие и разрешение нескольких ответов требуют Q05. Labs hero статичен. Кнопки Labs/бренда ведут к существующим блокам продукции на этой же странице; направления Labs — к соответствующим позициям/группе. Новые URL для этих якорей не нужны.</w:t>
      </w:r>
    </w:p>
    <w:p>
      <w:r>
        <w:t>Экспертный центр: тема ограничивает набор материалов, активная тема выделяется, смена темы возвращает первую страницу. Пагинация такая же по смыслу, как в каталоге. Статья получает реальные автора/даты/источники. Время чтения можно рассчитывать из финального текста согласно имеющемуся полю; демонстрационные прочерки не публиковать. Оглавление строится по существующим заголовкам и соответствует им. Отдельное sticky-оглавление, новая система карточек статей и future-функции R10/R12/R17/R20/R21 не входят в объём.</w:t>
      </w:r>
    </w:p>
    <w:p>
      <w:r>
        <w:t>Контакты и карта используют утверждённые данные. Пока точный адрес и геоточка не предоставлены, не ставить случайную метку. 404 возвращает правильный HTTP-статус и сохраняет полезную навигацию.</w:t>
      </w:r>
    </w:p>
    <w:p>
      <w:r>
        <w:t>Trustpilot подключается только после получения эталона Desktop/Mobile, доступного шаблона, параметров/кода и решения по языку. Ссылка на профиль meamoshop.com не доказывает возможность конкретного виджета и не является отдельным рейтингом meamo.ru. До готовности интеграции сохранить принятый резерв, не придумывать звёзды, число отзывов и цитаты.</w:t>
      </w:r>
    </w:p>
    <w:p>
      <w:pPr>
        <w:pStyle w:val="Heading1"/>
      </w:pPr>
      <w:r>
        <w:t>8 SEO и сохранение адресов</w:t>
      </w:r>
    </w:p>
    <w:p>
      <w:r>
        <w:t>До изменения маршрутов составить инвентаризацию действующих URL: ресурсы MODX, опубликованные карты, sitemap, важные страницы из Вебмастера/аналитики и адреса документов. Доступы предоставляются отдельно. Для каждого адреса записать тип, текущий ответ, будущий адрес и действие: сохранить, перенаправить, отдельно решить. Сохранение адресов — основной вариант; скрытие кнопки не означает удаление ресурса.</w:t>
      </w:r>
    </w:p>
    <w:p>
      <w:r>
        <w:t>Title, Description, H1 и контентные поля должны управляться в CMS без дублей из шаблона. Один главный H1 страницы; значения из образца не копировать всем товарам. Хлебные крошки строятся по действующей иерархии и ведут на существующие страницы. Собственные страницы категорий/брендов и SEO-посадочные сохраняют отдельное назначение.</w:t>
      </w:r>
    </w:p>
    <w:p>
      <w:r>
        <w:t>Подготовить таблицу правил index/noindex, canonical и sitemap для типов URL: основные страницы; пагинация; поиск; фильтры; сортировка; Grid/List. Согласовать Q10 с владельцем/SEO-ответственным после инвентаризации. Не закрывать массово ранее индексируемые посадочные только потому, что они похожи на фильтр. Для новых произвольных комбинаций не создавать бесконечное множество индексируемых адресов.</w:t>
      </w:r>
    </w:p>
    <w:p>
      <w:r>
        <w:t xml:space="preserve">Canonical должен указывать на содержательно соответствующий адрес. Для самостоятельных страниц пагинации не ставить всем canonical на первую страницу; обеспечить доступные ссылки последовательности. Такое различие описано в </w:t>
      </w:r>
      <w:hyperlink r:id="rId15">
        <w:r>
          <w:rPr>
            <w:color w:val="234E75"/>
          </w:rPr>
          <w:t>документации Google о пагинации</w:t>
        </w:r>
      </w:hyperlink>
      <w:r>
        <w:t>. Техническая индексация поиска/фильтров определяется утверждённой таблицей, а не случайным сочетанием robots и canonical. Если используется noindex, робот должен иметь возможность прочитать его; блокировка обхода не является надёжной заменой удаления из индекса.</w:t>
      </w:r>
    </w:p>
    <w:p>
      <w:r>
        <w:t>Sitemap содержит канонические опубликованные страницы с корректными URL, без тестовых ресурсов, ошибочных ответов и черновиков. Robots на production и стенде различаются; закрытый стенд дополнительно защищается доступом. Перед запуском проверить отсутствие случайного запрета индексации всего сайта.</w:t>
      </w:r>
    </w:p>
    <w:p>
      <w:r>
        <w:t>Микроразметку добавлять только к реально существующим данным: навигация, организация, статья, товар при применимости. Не выдумывать Offer, цену, наличие, рейтинг и отзывы для B2B-карточки. Проверить валидность разметки и соответствие видимому содержимому. Сохранить или корректно перенести Яндекс Метрику, цели заявок и доступы Вебмастера; не отправлять персональные данные формы в аналитику. Перечень действующих счётчиков и событий — часть инвентаризации, не предположение.</w:t>
      </w:r>
    </w:p>
    <w:p>
      <w:pPr>
        <w:pStyle w:val="Heading1"/>
      </w:pPr>
      <w:r>
        <w:t>9 Условный план смены домена</w:t>
      </w:r>
    </w:p>
    <w:p>
      <w:r>
        <w:t>Заказчик рассматривает замену meamo.ru; окончательное имя не выбрано. В ТЗ не назначается новый домен и не запускается переезд. Этот раздел применяется только после отдельного решения Q08, подтверждения владения доменами и согласования даты запуска.</w:t>
      </w:r>
    </w:p>
    <w:p>
      <w:pPr>
        <w:ind w:left="283" w:hanging="283"/>
      </w:pPr>
      <w:r>
        <w:t>1. Сохранить исходную инвентаризацию URL, поисковые показатели и резервную копию. Утвердить таблицу соответствий старого и нового адреса для страниц и документов. По возможности сохранить пути и не совмещать переезд с необязательным изменением структуры.</w:t>
      </w:r>
    </w:p>
    <w:p>
      <w:pPr>
        <w:ind w:left="283" w:hanging="283"/>
      </w:pPr>
      <w:r>
        <w:t>2. Подготовить новый домен на стенде: HTTPS, корректные адреса в MODX, внутренние ссылки, медиа и документы. Проверить, что содержимое соответствует утверждённым страницам. Технический и публичный адреса не должны смешиваться.</w:t>
      </w:r>
    </w:p>
    <w:p>
      <w:pPr>
        <w:ind w:left="283" w:hanging="283"/>
      </w:pPr>
      <w:r>
        <w:t>3. Подготовить постраничные постоянные 301 на соответствующие новые страницы; не отправлять все старые адреса на главную. Проверить циклы, ошибочные цепочки, варианты www/без www и HTTP/HTTPS. Если одновременно меняется структура, отдельно согласовать схему переходов с SEO-ответственным.</w:t>
      </w:r>
    </w:p>
    <w:p>
      <w:pPr>
        <w:ind w:left="283" w:hanging="283"/>
      </w:pPr>
      <w:r>
        <w:t>4. Обновить canonical и sitemap под утверждённый домен, проверить robots и внутренние ссылки, структурированные данные, адреса документов и внешние интеграции. Не сохранять canonical на старый домен на новых целевых страницах.</w:t>
      </w:r>
    </w:p>
    <w:p>
      <w:pPr>
        <w:ind w:left="283" w:hanging="283"/>
      </w:pPr>
      <w:r>
        <w:t>5. Подтвердить права старого и нового сайтов в Яндекс Вебмастере; выполнить процедуру переезда только по команде владельца. Проверить Метрику, цели, разрешённые домены интеграций и согласованные формы.</w:t>
      </w:r>
    </w:p>
    <w:p>
      <w:pPr>
        <w:ind w:left="283" w:hanging="283"/>
      </w:pPr>
      <w:r>
        <w:t>6. Сохранить старый домен и работоспособность HTTPS/редиректов на согласованный срок. После запуска контролировать доступность, индексирование, 404/5xx, переходы, формы и поисковый трафик. При отклонениях действовать по заранее подготовленному плану, не менять адреса хаотично.</w:t>
      </w:r>
    </w:p>
    <w:p>
      <w:r>
        <w:t xml:space="preserve">Порядок регистрации сайтов, сопоставления страниц и заявки сверяется с </w:t>
      </w:r>
      <w:hyperlink r:id="rId16">
        <w:r>
          <w:rPr>
            <w:color w:val="234E75"/>
          </w:rPr>
          <w:t>официальной инструкцией Яндекс Вебмастера</w:t>
        </w:r>
      </w:hyperlink>
      <w:r>
        <w:t>. Переезд может сопровождаться колебаниями поисковых показателей; обещание полного отсутствия потерь не является критерием сдачи программиста. Проверяемый критерий — правильные настройки, соответствия, ответы и наблюдение.</w:t>
      </w:r>
    </w:p>
    <w:p>
      <w:pPr>
        <w:pStyle w:val="Heading1"/>
      </w:pPr>
      <w:r>
        <w:t>10 Качество безопасности и эксплуатации</w:t>
      </w:r>
    </w:p>
    <w:p>
      <w:r>
        <w:t>Проверить серверную валидацию, экранирование вывода, параметризованные обращения к данным, контроль доступа к административным операциям и загрузкам. Ошибки пользователю формулируются понятно; техническая трассировка и секреты не выводятся на страницу. В журнале фиксируются диагностические события без лишних персональных данных и содержимого вложений.</w:t>
      </w:r>
    </w:p>
    <w:p>
      <w:r>
        <w:t>После интеграции проверить шаблоны и URL, работу кэша при обновлении товаров, статей и связей, обработку пустых данных, отсутствие JavaScript-ошибок. Проверить скорость на представительном каталоге, товаре, главной и статье на компьютере/телефоне. Зафиксировать условия измерения; согласовать целевые показатели Q11, не выдавая произвольные цифры за прежнее ТЗ. Оптимизировать изображения и загрузку без изменения утверждённого визуала.</w:t>
      </w:r>
    </w:p>
    <w:p>
      <w:r>
        <w:t>Перед запуском подготовить резервную копию файлов и БД, проверить восстановление на отдельном окружении, записать шаги отката и ответственных. Развёртывание, изменение DNS и production допускаются только отдельной командой владельца после технической приёмки.</w:t>
      </w:r>
    </w:p>
    <w:p>
      <w:pPr>
        <w:pStyle w:val="Heading1"/>
      </w:pPr>
      <w:r>
        <w:t>11 Техническая приёмка</w:t>
      </w:r>
    </w:p>
    <w:tbl>
      <w:tblPr>
        <w:tblW w:type="auto" w:w="0"/>
        <w:jc w:val="center"/>
        <w:tblLayout w:type="fixed"/>
        <w:tblLook w:firstColumn="1" w:firstRow="1" w:lastColumn="0" w:lastRow="0" w:noHBand="0" w:noVBand="1" w:val="04A0"/>
      </w:tblPr>
      <w:tblGrid>
        <w:gridCol w:w="2494"/>
        <w:gridCol w:w="7143"/>
      </w:tblGrid>
      <w:tr>
        <w:trPr>
          <w:cantSplit/>
          <w:tblHeader/>
        </w:trPr>
        <w:tc>
          <w:tcPr>
            <w:tcW w:type="dxa" w:w="2494"/>
            <w:vAlign w:val="top"/>
            <w:tcMar>
              <w:top w:w="85" w:type="dxa"/>
              <w:left w:w="85" w:type="dxa"/>
              <w:bottom w:w="85" w:type="dxa"/>
              <w:right w:w="85" w:type="dxa"/>
            </w:tcMar>
            <w:shd w:fill="E7EDF3"/>
          </w:tcPr>
          <w:p>
            <w:pPr>
              <w:spacing w:after="60" w:before="40" w:line="252" w:lineRule="auto"/>
            </w:pPr>
            <w:r>
              <w:rPr>
                <w:rFonts w:ascii="Arial" w:hAnsi="Arial"/>
                <w:b/>
                <w:sz w:val="18"/>
              </w:rPr>
              <w:t>Сценарий</w:t>
            </w:r>
          </w:p>
        </w:tc>
        <w:tc>
          <w:tcPr>
            <w:tcW w:type="dxa" w:w="7143"/>
            <w:vAlign w:val="top"/>
            <w:tcMar>
              <w:top w:w="85" w:type="dxa"/>
              <w:left w:w="85" w:type="dxa"/>
              <w:bottom w:w="85" w:type="dxa"/>
              <w:right w:w="85" w:type="dxa"/>
            </w:tcMar>
            <w:shd w:fill="E7EDF3"/>
          </w:tcPr>
          <w:p>
            <w:pPr>
              <w:spacing w:after="60" w:before="40" w:line="252" w:lineRule="auto"/>
            </w:pPr>
            <w:r>
              <w:rPr>
                <w:rFonts w:ascii="Arial" w:hAnsi="Arial"/>
                <w:b/>
                <w:sz w:val="18"/>
              </w:rPr>
              <w:t>Ожидаемый результат</w:t>
            </w:r>
          </w:p>
        </w:tc>
      </w:tr>
      <w:tr>
        <w:trPr>
          <w:cantSplit/>
        </w:trPr>
        <w:tc>
          <w:tcPr>
            <w:tcW w:type="dxa" w:w="2494"/>
            <w:vAlign w:val="top"/>
            <w:tcMar>
              <w:top w:w="85" w:type="dxa"/>
              <w:left w:w="85" w:type="dxa"/>
              <w:bottom w:w="85" w:type="dxa"/>
              <w:right w:w="85" w:type="dxa"/>
            </w:tcMar>
            <w:shd w:fill="FFFFFF"/>
          </w:tcPr>
          <w:p>
            <w:pPr>
              <w:spacing w:after="60" w:before="40" w:line="252" w:lineRule="auto"/>
            </w:pPr>
            <w:r>
              <w:rPr>
                <w:rFonts w:ascii="Arial" w:hAnsi="Arial"/>
                <w:b w:val="0"/>
                <w:sz w:val="18"/>
              </w:rPr>
              <w:t>Поиск → фильтры → List → страница 2 → товар → назад</w:t>
            </w:r>
          </w:p>
        </w:tc>
        <w:tc>
          <w:tcPr>
            <w:tcW w:type="dxa" w:w="7143"/>
            <w:vAlign w:val="top"/>
            <w:tcMar>
              <w:top w:w="85" w:type="dxa"/>
              <w:left w:w="85" w:type="dxa"/>
              <w:bottom w:w="85" w:type="dxa"/>
              <w:right w:w="85" w:type="dxa"/>
            </w:tcMar>
            <w:shd w:fill="FFFFFF"/>
          </w:tcPr>
          <w:p>
            <w:pPr>
              <w:spacing w:after="60" w:before="40" w:line="252" w:lineRule="auto"/>
            </w:pPr>
            <w:r>
              <w:rPr>
                <w:rFonts w:ascii="Arial" w:hAnsi="Arial"/>
                <w:b w:val="0"/>
                <w:sz w:val="18"/>
              </w:rPr>
              <w:t>Контекст и результат сохраняются, товар соответствует карточке</w:t>
            </w:r>
          </w:p>
        </w:tc>
      </w:tr>
      <w:tr>
        <w:trPr>
          <w:cantSplit/>
        </w:trPr>
        <w:tc>
          <w:tcPr>
            <w:tcW w:type="dxa" w:w="2494"/>
            <w:vAlign w:val="top"/>
            <w:tcMar>
              <w:top w:w="85" w:type="dxa"/>
              <w:left w:w="85" w:type="dxa"/>
              <w:bottom w:w="85" w:type="dxa"/>
              <w:right w:w="85" w:type="dxa"/>
            </w:tcMar>
            <w:shd w:fill="F5F7F9"/>
          </w:tcPr>
          <w:p>
            <w:pPr>
              <w:spacing w:after="60" w:before="40" w:line="252" w:lineRule="auto"/>
            </w:pPr>
            <w:r>
              <w:rPr>
                <w:rFonts w:ascii="Arial" w:hAnsi="Arial"/>
                <w:b w:val="0"/>
                <w:sz w:val="18"/>
              </w:rPr>
              <w:t>Выбрать два бренда и категорию</w:t>
            </w:r>
          </w:p>
        </w:tc>
        <w:tc>
          <w:tcPr>
            <w:tcW w:type="dxa" w:w="7143"/>
            <w:vAlign w:val="top"/>
            <w:tcMar>
              <w:top w:w="85" w:type="dxa"/>
              <w:left w:w="85" w:type="dxa"/>
              <w:bottom w:w="85" w:type="dxa"/>
              <w:right w:w="85" w:type="dxa"/>
            </w:tcMar>
            <w:shd w:fill="F5F7F9"/>
          </w:tcPr>
          <w:p>
            <w:pPr>
              <w:spacing w:after="60" w:before="40" w:line="252" w:lineRule="auto"/>
            </w:pPr>
            <w:r>
              <w:rPr>
                <w:rFonts w:ascii="Arial" w:hAnsi="Arial"/>
                <w:b w:val="0"/>
                <w:sz w:val="18"/>
              </w:rPr>
              <w:t>Внутри брендов «любой», между группами совместное условие; счётчик соответствует данным</w:t>
            </w:r>
          </w:p>
        </w:tc>
      </w:tr>
      <w:tr>
        <w:trPr>
          <w:cantSplit/>
        </w:trPr>
        <w:tc>
          <w:tcPr>
            <w:tcW w:type="dxa" w:w="2494"/>
            <w:vAlign w:val="top"/>
            <w:tcMar>
              <w:top w:w="85" w:type="dxa"/>
              <w:left w:w="85" w:type="dxa"/>
              <w:bottom w:w="85" w:type="dxa"/>
              <w:right w:w="85" w:type="dxa"/>
            </w:tcMar>
            <w:shd w:fill="FFFFFF"/>
          </w:tcPr>
          <w:p>
            <w:pPr>
              <w:spacing w:after="60" w:before="40" w:line="252" w:lineRule="auto"/>
            </w:pPr>
            <w:r>
              <w:rPr>
                <w:rFonts w:ascii="Arial" w:hAnsi="Arial"/>
                <w:b w:val="0"/>
                <w:sz w:val="18"/>
              </w:rPr>
              <w:t>Снять один чип → сбросить фильтры</w:t>
            </w:r>
          </w:p>
        </w:tc>
        <w:tc>
          <w:tcPr>
            <w:tcW w:type="dxa" w:w="7143"/>
            <w:vAlign w:val="top"/>
            <w:tcMar>
              <w:top w:w="85" w:type="dxa"/>
              <w:left w:w="85" w:type="dxa"/>
              <w:bottom w:w="85" w:type="dxa"/>
              <w:right w:w="85" w:type="dxa"/>
            </w:tcMar>
            <w:shd w:fill="FFFFFF"/>
          </w:tcPr>
          <w:p>
            <w:pPr>
              <w:spacing w:after="60" w:before="40" w:line="252" w:lineRule="auto"/>
            </w:pPr>
            <w:r>
              <w:rPr>
                <w:rFonts w:ascii="Arial" w:hAnsi="Arial"/>
                <w:b w:val="0"/>
                <w:sz w:val="18"/>
              </w:rPr>
              <w:t>Удаляется нужное значение; общий сброс сохраняет поисковую строку</w:t>
            </w:r>
          </w:p>
        </w:tc>
      </w:tr>
      <w:tr>
        <w:trPr>
          <w:cantSplit/>
        </w:trPr>
        <w:tc>
          <w:tcPr>
            <w:tcW w:type="dxa" w:w="2494"/>
            <w:vAlign w:val="top"/>
            <w:tcMar>
              <w:top w:w="85" w:type="dxa"/>
              <w:left w:w="85" w:type="dxa"/>
              <w:bottom w:w="85" w:type="dxa"/>
              <w:right w:w="85" w:type="dxa"/>
            </w:tcMar>
            <w:shd w:fill="F5F7F9"/>
          </w:tcPr>
          <w:p>
            <w:pPr>
              <w:spacing w:after="60" w:before="40" w:line="252" w:lineRule="auto"/>
            </w:pPr>
            <w:r>
              <w:rPr>
                <w:rFonts w:ascii="Arial" w:hAnsi="Arial"/>
                <w:b w:val="0"/>
                <w:sz w:val="18"/>
              </w:rPr>
              <w:t>Обновить каталог и открыть скопированный URL</w:t>
            </w:r>
          </w:p>
        </w:tc>
        <w:tc>
          <w:tcPr>
            <w:tcW w:type="dxa" w:w="7143"/>
            <w:vAlign w:val="top"/>
            <w:tcMar>
              <w:top w:w="85" w:type="dxa"/>
              <w:left w:w="85" w:type="dxa"/>
              <w:bottom w:w="85" w:type="dxa"/>
              <w:right w:w="85" w:type="dxa"/>
            </w:tcMar>
            <w:shd w:fill="F5F7F9"/>
          </w:tcPr>
          <w:p>
            <w:pPr>
              <w:spacing w:after="60" w:before="40" w:line="252" w:lineRule="auto"/>
            </w:pPr>
            <w:r>
              <w:rPr>
                <w:rFonts w:ascii="Arial" w:hAnsi="Arial"/>
                <w:b w:val="0"/>
                <w:sz w:val="18"/>
              </w:rPr>
              <w:t>Те же параметры, вид, страница и набор товаров</w:t>
            </w:r>
          </w:p>
        </w:tc>
      </w:tr>
      <w:tr>
        <w:trPr>
          <w:cantSplit/>
        </w:trPr>
        <w:tc>
          <w:tcPr>
            <w:tcW w:type="dxa" w:w="2494"/>
            <w:vAlign w:val="top"/>
            <w:tcMar>
              <w:top w:w="85" w:type="dxa"/>
              <w:left w:w="85" w:type="dxa"/>
              <w:bottom w:w="85" w:type="dxa"/>
              <w:right w:w="85" w:type="dxa"/>
            </w:tcMar>
            <w:shd w:fill="FFFFFF"/>
          </w:tcPr>
          <w:p>
            <w:pPr>
              <w:spacing w:after="60" w:before="40" w:line="252" w:lineRule="auto"/>
            </w:pPr>
            <w:r>
              <w:rPr>
                <w:rFonts w:ascii="Arial" w:hAnsi="Arial"/>
                <w:b w:val="0"/>
                <w:sz w:val="18"/>
              </w:rPr>
              <w:t>Открыть панель Mobile → выбрать → применить</w:t>
            </w:r>
          </w:p>
        </w:tc>
        <w:tc>
          <w:tcPr>
            <w:tcW w:type="dxa" w:w="7143"/>
            <w:vAlign w:val="top"/>
            <w:tcMar>
              <w:top w:w="85" w:type="dxa"/>
              <w:left w:w="85" w:type="dxa"/>
              <w:bottom w:w="85" w:type="dxa"/>
              <w:right w:w="85" w:type="dxa"/>
            </w:tcMar>
            <w:shd w:fill="FFFFFF"/>
          </w:tcPr>
          <w:p>
            <w:pPr>
              <w:spacing w:after="60" w:before="40" w:line="252" w:lineRule="auto"/>
            </w:pPr>
            <w:r>
              <w:rPr>
                <w:rFonts w:ascii="Arial" w:hAnsi="Arial"/>
                <w:b w:val="0"/>
                <w:sz w:val="18"/>
              </w:rPr>
              <w:t>Выдача получает выбор; закрытие/отмена соответствуют ответу Q07</w:t>
            </w:r>
          </w:p>
        </w:tc>
      </w:tr>
      <w:tr>
        <w:trPr>
          <w:cantSplit/>
        </w:trPr>
        <w:tc>
          <w:tcPr>
            <w:tcW w:type="dxa" w:w="2494"/>
            <w:vAlign w:val="top"/>
            <w:tcMar>
              <w:top w:w="85" w:type="dxa"/>
              <w:left w:w="85" w:type="dxa"/>
              <w:bottom w:w="85" w:type="dxa"/>
              <w:right w:w="85" w:type="dxa"/>
            </w:tcMar>
            <w:shd w:fill="F5F7F9"/>
          </w:tcPr>
          <w:p>
            <w:pPr>
              <w:spacing w:after="60" w:before="40" w:line="252" w:lineRule="auto"/>
            </w:pPr>
            <w:r>
              <w:rPr>
                <w:rFonts w:ascii="Arial" w:hAnsi="Arial"/>
                <w:b w:val="0"/>
                <w:sz w:val="18"/>
              </w:rPr>
              <w:t>Открыть HA, Exo и запрос документов Fine</w:t>
            </w:r>
          </w:p>
        </w:tc>
        <w:tc>
          <w:tcPr>
            <w:tcW w:type="dxa" w:w="7143"/>
            <w:vAlign w:val="top"/>
            <w:tcMar>
              <w:top w:w="85" w:type="dxa"/>
              <w:left w:w="85" w:type="dxa"/>
              <w:bottom w:w="85" w:type="dxa"/>
              <w:right w:w="85" w:type="dxa"/>
            </w:tcMar>
            <w:shd w:fill="F5F7F9"/>
          </w:tcPr>
          <w:p>
            <w:pPr>
              <w:spacing w:after="60" w:before="40" w:line="252" w:lineRule="auto"/>
            </w:pPr>
            <w:r>
              <w:rPr>
                <w:rFonts w:ascii="Arial" w:hAnsi="Arial"/>
                <w:b w:val="0"/>
                <w:sz w:val="18"/>
              </w:rPr>
              <w:t>Файлы имеют правильное назначение; запрос сохраняет Fine, не подставляет Exo</w:t>
            </w:r>
          </w:p>
        </w:tc>
      </w:tr>
      <w:tr>
        <w:trPr>
          <w:cantSplit/>
        </w:trPr>
        <w:tc>
          <w:tcPr>
            <w:tcW w:type="dxa" w:w="2494"/>
            <w:vAlign w:val="top"/>
            <w:tcMar>
              <w:top w:w="85" w:type="dxa"/>
              <w:left w:w="85" w:type="dxa"/>
              <w:bottom w:w="85" w:type="dxa"/>
              <w:right w:w="85" w:type="dxa"/>
            </w:tcMar>
            <w:shd w:fill="FFFFFF"/>
          </w:tcPr>
          <w:p>
            <w:pPr>
              <w:spacing w:after="60" w:before="40" w:line="252" w:lineRule="auto"/>
            </w:pPr>
            <w:r>
              <w:rPr>
                <w:rFonts w:ascii="Arial" w:hAnsi="Arial"/>
                <w:b w:val="0"/>
                <w:sz w:val="18"/>
              </w:rPr>
              <w:t>Отправить форму с ошибками → исправить → отправить</w:t>
            </w:r>
          </w:p>
        </w:tc>
        <w:tc>
          <w:tcPr>
            <w:tcW w:type="dxa" w:w="7143"/>
            <w:vAlign w:val="top"/>
            <w:tcMar>
              <w:top w:w="85" w:type="dxa"/>
              <w:left w:w="85" w:type="dxa"/>
              <w:bottom w:w="85" w:type="dxa"/>
              <w:right w:w="85" w:type="dxa"/>
            </w:tcMar>
            <w:shd w:fill="FFFFFF"/>
          </w:tcPr>
          <w:p>
            <w:pPr>
              <w:spacing w:after="60" w:before="40" w:line="252" w:lineRule="auto"/>
            </w:pPr>
            <w:r>
              <w:rPr>
                <w:rFonts w:ascii="Arial" w:hAnsi="Arial"/>
                <w:b w:val="0"/>
                <w:sz w:val="18"/>
              </w:rPr>
              <w:t>Ошибки понятны, данные сохранены, успех только после сервера</w:t>
            </w:r>
          </w:p>
        </w:tc>
      </w:tr>
      <w:tr>
        <w:trPr>
          <w:cantSplit/>
        </w:trPr>
        <w:tc>
          <w:tcPr>
            <w:tcW w:type="dxa" w:w="2494"/>
            <w:vAlign w:val="top"/>
            <w:tcMar>
              <w:top w:w="85" w:type="dxa"/>
              <w:left w:w="85" w:type="dxa"/>
              <w:bottom w:w="85" w:type="dxa"/>
              <w:right w:w="85" w:type="dxa"/>
            </w:tcMar>
            <w:shd w:fill="F5F7F9"/>
          </w:tcPr>
          <w:p>
            <w:pPr>
              <w:spacing w:after="60" w:before="40" w:line="252" w:lineRule="auto"/>
            </w:pPr>
            <w:r>
              <w:rPr>
                <w:rFonts w:ascii="Arial" w:hAnsi="Arial"/>
                <w:b w:val="0"/>
                <w:sz w:val="18"/>
              </w:rPr>
              <w:t>Повторить отправку после сетевого сбоя</w:t>
            </w:r>
          </w:p>
        </w:tc>
        <w:tc>
          <w:tcPr>
            <w:tcW w:type="dxa" w:w="7143"/>
            <w:vAlign w:val="top"/>
            <w:tcMar>
              <w:top w:w="85" w:type="dxa"/>
              <w:left w:w="85" w:type="dxa"/>
              <w:bottom w:w="85" w:type="dxa"/>
              <w:right w:w="85" w:type="dxa"/>
            </w:tcMar>
            <w:shd w:fill="F5F7F9"/>
          </w:tcPr>
          <w:p>
            <w:pPr>
              <w:spacing w:after="60" w:before="40" w:line="252" w:lineRule="auto"/>
            </w:pPr>
            <w:r>
              <w:rPr>
                <w:rFonts w:ascii="Arial" w:hAnsi="Arial"/>
                <w:b w:val="0"/>
                <w:sz w:val="18"/>
              </w:rPr>
              <w:t>Нет потери ввода и неконтролируемых дубликатов</w:t>
            </w:r>
          </w:p>
        </w:tc>
      </w:tr>
      <w:tr>
        <w:trPr>
          <w:cantSplit/>
        </w:trPr>
        <w:tc>
          <w:tcPr>
            <w:tcW w:type="dxa" w:w="2494"/>
            <w:vAlign w:val="top"/>
            <w:tcMar>
              <w:top w:w="85" w:type="dxa"/>
              <w:left w:w="85" w:type="dxa"/>
              <w:bottom w:w="85" w:type="dxa"/>
              <w:right w:w="85" w:type="dxa"/>
            </w:tcMar>
            <w:shd w:fill="FFFFFF"/>
          </w:tcPr>
          <w:p>
            <w:pPr>
              <w:spacing w:after="60" w:before="40" w:line="252" w:lineRule="auto"/>
            </w:pPr>
            <w:r>
              <w:rPr>
                <w:rFonts w:ascii="Arial" w:hAnsi="Arial"/>
                <w:b w:val="0"/>
                <w:sz w:val="18"/>
              </w:rPr>
              <w:t>Создать/изменить товар и статью через CMS</w:t>
            </w:r>
          </w:p>
        </w:tc>
        <w:tc>
          <w:tcPr>
            <w:tcW w:type="dxa" w:w="7143"/>
            <w:vAlign w:val="top"/>
            <w:tcMar>
              <w:top w:w="85" w:type="dxa"/>
              <w:left w:w="85" w:type="dxa"/>
              <w:bottom w:w="85" w:type="dxa"/>
              <w:right w:w="85" w:type="dxa"/>
            </w:tcMar>
            <w:shd w:fill="FFFFFF"/>
          </w:tcPr>
          <w:p>
            <w:pPr>
              <w:spacing w:after="60" w:before="40" w:line="252" w:lineRule="auto"/>
            </w:pPr>
            <w:r>
              <w:rPr>
                <w:rFonts w:ascii="Arial" w:hAnsi="Arial"/>
                <w:b w:val="0"/>
                <w:sz w:val="18"/>
              </w:rPr>
              <w:t>Изменения отображаются в правильных шаблонах, связях, фильтрах и кэше</w:t>
            </w:r>
          </w:p>
        </w:tc>
      </w:tr>
      <w:tr>
        <w:trPr>
          <w:cantSplit/>
        </w:trPr>
        <w:tc>
          <w:tcPr>
            <w:tcW w:type="dxa" w:w="2494"/>
            <w:vAlign w:val="top"/>
            <w:tcMar>
              <w:top w:w="85" w:type="dxa"/>
              <w:left w:w="85" w:type="dxa"/>
              <w:bottom w:w="85" w:type="dxa"/>
              <w:right w:w="85" w:type="dxa"/>
            </w:tcMar>
            <w:shd w:fill="F5F7F9"/>
          </w:tcPr>
          <w:p>
            <w:pPr>
              <w:spacing w:after="60" w:before="40" w:line="252" w:lineRule="auto"/>
            </w:pPr>
            <w:r>
              <w:rPr>
                <w:rFonts w:ascii="Arial" w:hAnsi="Arial"/>
                <w:b w:val="0"/>
                <w:sz w:val="18"/>
              </w:rPr>
              <w:t>Проверить старые URL и несуществующий адрес</w:t>
            </w:r>
          </w:p>
        </w:tc>
        <w:tc>
          <w:tcPr>
            <w:tcW w:type="dxa" w:w="7143"/>
            <w:vAlign w:val="top"/>
            <w:tcMar>
              <w:top w:w="85" w:type="dxa"/>
              <w:left w:w="85" w:type="dxa"/>
              <w:bottom w:w="85" w:type="dxa"/>
              <w:right w:w="85" w:type="dxa"/>
            </w:tcMar>
            <w:shd w:fill="F5F7F9"/>
          </w:tcPr>
          <w:p>
            <w:pPr>
              <w:spacing w:after="60" w:before="40" w:line="252" w:lineRule="auto"/>
            </w:pPr>
            <w:r>
              <w:rPr>
                <w:rFonts w:ascii="Arial" w:hAnsi="Arial"/>
                <w:b w:val="0"/>
                <w:sz w:val="18"/>
              </w:rPr>
              <w:t>Сохранение или согласованный редирект; для отсутствующего ресурса настоящий 404</w:t>
            </w:r>
          </w:p>
        </w:tc>
      </w:tr>
      <w:tr>
        <w:trPr>
          <w:cantSplit/>
        </w:trPr>
        <w:tc>
          <w:tcPr>
            <w:tcW w:type="dxa" w:w="2494"/>
            <w:vAlign w:val="top"/>
            <w:tcMar>
              <w:top w:w="85" w:type="dxa"/>
              <w:left w:w="85" w:type="dxa"/>
              <w:bottom w:w="85" w:type="dxa"/>
              <w:right w:w="85" w:type="dxa"/>
            </w:tcMar>
            <w:shd w:fill="FFFFFF"/>
          </w:tcPr>
          <w:p>
            <w:pPr>
              <w:spacing w:after="60" w:before="40" w:line="252" w:lineRule="auto"/>
            </w:pPr>
            <w:r>
              <w:rPr>
                <w:rFonts w:ascii="Arial" w:hAnsi="Arial"/>
                <w:b w:val="0"/>
                <w:sz w:val="18"/>
              </w:rPr>
              <w:t>При утверждённом переезде открыть старый URL</w:t>
            </w:r>
          </w:p>
        </w:tc>
        <w:tc>
          <w:tcPr>
            <w:tcW w:type="dxa" w:w="7143"/>
            <w:vAlign w:val="top"/>
            <w:tcMar>
              <w:top w:w="85" w:type="dxa"/>
              <w:left w:w="85" w:type="dxa"/>
              <w:bottom w:w="85" w:type="dxa"/>
              <w:right w:w="85" w:type="dxa"/>
            </w:tcMar>
            <w:shd w:fill="FFFFFF"/>
          </w:tcPr>
          <w:p>
            <w:pPr>
              <w:spacing w:after="60" w:before="40" w:line="252" w:lineRule="auto"/>
            </w:pPr>
            <w:r>
              <w:rPr>
                <w:rFonts w:ascii="Arial" w:hAnsi="Arial"/>
                <w:b w:val="0"/>
                <w:sz w:val="18"/>
              </w:rPr>
              <w:t>Переход к соответствующему новому адресу, рабочая страница и согласованные SEO-настройки</w:t>
            </w:r>
          </w:p>
        </w:tc>
      </w:tr>
    </w:tbl>
    <w:p>
      <w:pPr>
        <w:spacing w:after="0"/>
      </w:pPr>
    </w:p>
    <w:p>
      <w:r>
        <w:t>Полный рабочий чек-лист находится в MEAMO_Чеклист_приемки.xlsx: действие, ожидаемый результат, результат проверки, замечание и свидетельство. Все результаты изначально «Не проверено». Макет или наличие кода не считаются пройденным тестом.</w:t>
      </w:r>
    </w:p>
    <w:p>
      <w:pPr>
        <w:pStyle w:val="Heading1"/>
      </w:pPr>
      <w:r>
        <w:t>12 Передача и границы запуска</w:t>
      </w:r>
    </w:p>
    <w:p>
      <w:r>
        <w:t>Передать перечень изменённых шаблонов/чанков/полей и обработчиков, инструкцию работы контент-менеджера, описание конфигурации без секретов, процедуру резервирования и отката, заполненный чек-лист и список остаточных ограничений. Не включать в пользовательский пакет пароли, токены или выгрузку персональных данных.</w:t>
      </w:r>
    </w:p>
    <w:p>
      <w:r>
        <w:t>Материалы не блокируют вёрстку каркаса и техническую инвентаризацию. Однако без решений по формам нельзя окончательно настроить их приём; без подтверждённой матрицы фильтров — принять реальные фильтры; без параметров Trustpilot — принять интеграцию. Доменный переезд полностью условен. Вопросы и границы блокировок вынесены отдельно; утверждение дизайна не закрывает их автоматически.</w:t>
      </w:r>
    </w:p>
    <w:sectPr w:rsidR="00FC693F" w:rsidRPr="0006063C" w:rsidSect="00034616">
      <w:headerReference w:type="default" r:id="rId9"/>
      <w:footerReference w:type="default" r:id="rId10"/>
      <w:pgSz w:w="11906" w:h="16838"/>
      <w:pgMar w:top="1020" w:right="1134" w:bottom="964" w:left="1134" w:header="369"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6"/>
      </w:rPr>
      <w:t xml:space="preserve">12.10.2026   •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r>
      <w:rPr>
        <w:color w:val="667484"/>
        <w:sz w:val="16"/>
      </w:rPr>
      <w:t>MEAMO   /   Передача в разработку</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172B45"/>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60" w:after="120"/>
      <w:outlineLvl w:val="0"/>
    </w:pPr>
    <w:rPr>
      <w:rFonts w:asciiTheme="majorHAnsi" w:eastAsiaTheme="majorEastAsia" w:hAnsiTheme="majorHAnsi" w:cstheme="majorBidi" w:ascii="Arial" w:hAnsi="Arial"/>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60" w:after="120"/>
      <w:outlineLvl w:val="1"/>
    </w:pPr>
    <w:rPr>
      <w:rFonts w:asciiTheme="majorHAnsi" w:eastAsiaTheme="majorEastAsia" w:hAnsiTheme="majorHAnsi" w:cstheme="majorBidi" w:ascii="Arial" w:hAnsi="Arial"/>
      <w:b/>
      <w:bCs/>
      <w:color w:val="000000"/>
      <w:sz w:val="25"/>
      <w:szCs w:val="26"/>
    </w:rPr>
  </w:style>
  <w:style w:type="paragraph" w:styleId="Heading3">
    <w:name w:val="heading 3"/>
    <w:basedOn w:val="Normal"/>
    <w:next w:val="Normal"/>
    <w:link w:val="Heading3Char"/>
    <w:uiPriority w:val="9"/>
    <w:unhideWhenUsed/>
    <w:qFormat/>
    <w:rsid w:val="00FC693F"/>
    <w:pPr>
      <w:keepNext/>
      <w:keepLines/>
      <w:spacing w:before="260" w:after="120"/>
      <w:outlineLvl w:val="2"/>
    </w:pPr>
    <w:rPr>
      <w:rFonts w:asciiTheme="majorHAnsi" w:eastAsiaTheme="majorEastAsia" w:hAnsiTheme="majorHAnsi" w:cstheme="majorBidi" w:ascii="Arial" w:hAnsi="Arial"/>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120" w:line="240" w:lineRule="auto" w:before="0"/>
      <w:contextualSpacing/>
    </w:pPr>
    <w:rPr>
      <w:rFonts w:asciiTheme="majorHAnsi" w:eastAsiaTheme="majorEastAsia" w:hAnsiTheme="majorHAnsi" w:cstheme="majorBidi" w:ascii="Arial" w:hAnsi="Arial"/>
      <w:b/>
      <w:color w:val="000000"/>
      <w:spacing w:val="5"/>
      <w:kern w:val="28"/>
      <w:sz w:val="4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00" w:line="259" w:lineRule="auto"/>
    </w:pPr>
    <w:rPr>
      <w:rFonts w:ascii="Arial" w:hAnsi="Arial"/>
      <w:color w:val="172B45"/>
      <w:sz w:val="21"/>
    </w:r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100" w:line="259" w:lineRule="auto"/>
      <w:contextualSpacing/>
    </w:pPr>
    <w:rPr>
      <w:rFonts w:ascii="Arial" w:hAnsi="Arial"/>
      <w:color w:val="172B45"/>
      <w:sz w:val="21"/>
    </w:r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spacing w:after="100" w:line="259" w:lineRule="auto"/>
      <w:contextualSpacing/>
    </w:pPr>
    <w:rPr>
      <w:rFonts w:ascii="Arial" w:hAnsi="Arial"/>
      <w:color w:val="172B45"/>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docs.modx.com/3.x/en/building-sites/elements/templates" TargetMode="External"/><Relationship Id="rId12" Type="http://schemas.openxmlformats.org/officeDocument/2006/relationships/hyperlink" Target="https://www.figma.com/design/J56C9ltgdIwC7tm6xWSqkp/MEAMO" TargetMode="External"/><Relationship Id="rId13" Type="http://schemas.openxmlformats.org/officeDocument/2006/relationships/hyperlink" Target="https://www.figma.com/design/J56C9ltgdIwC7tm6xWSqkp/MEAMO?node-id=186-1741" TargetMode="External"/><Relationship Id="rId14" Type="http://schemas.openxmlformats.org/officeDocument/2006/relationships/hyperlink" Target="https://cheatsheetseries.owasp.org/cheatsheets/File_Upload_Cheat_Sheet.html" TargetMode="External"/><Relationship Id="rId15" Type="http://schemas.openxmlformats.org/officeDocument/2006/relationships/hyperlink" Target="https://developers.google.com/search/docs/specialty/ecommerce/pagination-and-incremental-page-loading" TargetMode="External"/><Relationship Id="rId16" Type="http://schemas.openxmlformats.org/officeDocument/2006/relationships/hyperlink" Target="https://yandex.ru/support/webmaster/ru/yandex-indexing/moving-site"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MEAMO ТЗ программисту MODX</dc:title>
  <dc:subject>Техническое задание MEAMO</dc:subject>
  <dc:creator>MEAMO</dc:creator>
  <cp:keywords/>
  <dc:description>generated by python-docx</dc:description>
  <cp:lastModifiedBy/>
  <cp:revision>1</cp:revision>
  <dcterms:created xsi:type="dcterms:W3CDTF">2013-12-23T23:15:00Z</dcterms:created>
  <dcterms:modified xsi:type="dcterms:W3CDTF">2013-12-23T23:15:00Z</dcterms:modified>
  <cp:category/>
  <dc:language>ru-RU</dc:language>
</cp:coreProperties>
</file>