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--Analyzing Query Store state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actual_state_desc, desired_state_desc, current_storage_size_mb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,max_storage_size_mb, readonly_reason, interval_length_minutes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,stale_query_threshold_days, size_based_cleanup_mode_desc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,query_capture_mode_desc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sys.database_query_store_options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--Removing queries from the Query Store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@RecId int = -1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,@QueryId int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@Queries table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(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RecId int not null identity(1,1) primary key,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QueryId int not null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@Queries(QueryId)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select p.query_id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from sys.query_store_plan p join sys.query_store_runtime_stats rs 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p.plan_id = rs.plan_id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group by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p.query_id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having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sum(rs.count_executions) &lt; 2 and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max(rs.last_execution_time) &lt; dateadd(day,-72,getdate());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while 1 = 1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select top 1 @RecId = RecId, @QueryID = QueryId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from @Queries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where RecId &gt; @RecId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order by RecID;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if @@rowcount = 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exec sys.sp_query_store_remove_query @QueryID;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